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AB6A0" w14:textId="401A39A0" w:rsidR="008820C8" w:rsidRDefault="00FD26A4" w:rsidP="00E674ED">
      <w:pPr>
        <w:spacing w:line="360" w:lineRule="auto"/>
        <w:rPr>
          <w:rFonts w:ascii="Arial" w:hAnsi="Arial" w:cs="Arial"/>
          <w:b/>
          <w:bCs/>
        </w:rPr>
      </w:pPr>
      <w:r w:rsidRPr="00E674ED">
        <w:rPr>
          <w:rFonts w:ascii="Arial" w:hAnsi="Arial" w:cs="Arial"/>
          <w:b/>
          <w:bCs/>
        </w:rPr>
        <w:t>Pregunta de investigación</w:t>
      </w:r>
      <w:r w:rsidR="006D74B7" w:rsidRPr="00E674ED">
        <w:rPr>
          <w:rFonts w:ascii="Arial" w:hAnsi="Arial" w:cs="Arial"/>
          <w:b/>
          <w:bCs/>
        </w:rPr>
        <w:t xml:space="preserve">: </w:t>
      </w:r>
    </w:p>
    <w:p w14:paraId="166200B6" w14:textId="3A2B7AE8" w:rsidR="00131382" w:rsidRDefault="006D74B7" w:rsidP="00E674ED">
      <w:pPr>
        <w:spacing w:line="360" w:lineRule="auto"/>
        <w:rPr>
          <w:rFonts w:ascii="Arial" w:hAnsi="Arial" w:cs="Arial"/>
        </w:rPr>
      </w:pPr>
      <w:r w:rsidRPr="00E674ED">
        <w:rPr>
          <w:rFonts w:ascii="Arial" w:hAnsi="Arial" w:cs="Arial"/>
        </w:rPr>
        <w:t xml:space="preserve">¿Qué caracteriza </w:t>
      </w:r>
      <w:r w:rsidR="005C1F7E" w:rsidRPr="00E674ED">
        <w:rPr>
          <w:rFonts w:ascii="Arial" w:hAnsi="Arial" w:cs="Arial"/>
        </w:rPr>
        <w:t>al</w:t>
      </w:r>
      <w:r w:rsidRPr="00E674ED">
        <w:rPr>
          <w:rFonts w:ascii="Arial" w:hAnsi="Arial" w:cs="Arial"/>
        </w:rPr>
        <w:t xml:space="preserve"> vínculo madre e hija</w:t>
      </w:r>
      <w:r w:rsidR="005C1F7E" w:rsidRPr="00E674ED">
        <w:rPr>
          <w:rFonts w:ascii="Arial" w:hAnsi="Arial" w:cs="Arial"/>
        </w:rPr>
        <w:t>, en el caso de una</w:t>
      </w:r>
      <w:r w:rsidR="00131382">
        <w:rPr>
          <w:rFonts w:ascii="Arial" w:hAnsi="Arial" w:cs="Arial"/>
        </w:rPr>
        <w:t xml:space="preserve"> mujer adoptada durante el primer año de vida?</w:t>
      </w:r>
    </w:p>
    <w:p w14:paraId="5C705D82" w14:textId="1E1EC0C1" w:rsidR="00FD26A4" w:rsidRDefault="00FD26A4" w:rsidP="00D966D9">
      <w:pPr>
        <w:jc w:val="center"/>
        <w:rPr>
          <w:rFonts w:ascii="Arial" w:hAnsi="Arial" w:cs="Arial"/>
          <w:b/>
          <w:bCs/>
        </w:rPr>
      </w:pPr>
      <w:r>
        <w:rPr>
          <w:rFonts w:ascii="Arial" w:hAnsi="Arial" w:cs="Arial"/>
          <w:b/>
          <w:bCs/>
        </w:rPr>
        <w:t>Objetivos</w:t>
      </w:r>
    </w:p>
    <w:p w14:paraId="550A639A" w14:textId="77777777" w:rsidR="00372AD0" w:rsidRPr="00372AD0" w:rsidRDefault="00FD26A4" w:rsidP="00372AD0">
      <w:pPr>
        <w:rPr>
          <w:rFonts w:ascii="Arial" w:hAnsi="Arial" w:cs="Arial"/>
          <w:b/>
          <w:bCs/>
        </w:rPr>
      </w:pPr>
      <w:r>
        <w:rPr>
          <w:rFonts w:ascii="Arial" w:hAnsi="Arial" w:cs="Arial"/>
          <w:b/>
          <w:bCs/>
        </w:rPr>
        <w:t>Objetivo General</w:t>
      </w:r>
      <w:r w:rsidR="00372AD0">
        <w:rPr>
          <w:rFonts w:ascii="Arial" w:hAnsi="Arial" w:cs="Arial"/>
          <w:b/>
          <w:bCs/>
        </w:rPr>
        <w:t xml:space="preserve">: </w:t>
      </w:r>
    </w:p>
    <w:p w14:paraId="6CF2803D" w14:textId="100BE124" w:rsidR="00FD26A4" w:rsidRDefault="00372AD0" w:rsidP="00372AD0">
      <w:pPr>
        <w:rPr>
          <w:rFonts w:ascii="Arial" w:hAnsi="Arial" w:cs="Arial"/>
        </w:rPr>
      </w:pPr>
      <w:r w:rsidRPr="00372AD0">
        <w:rPr>
          <w:rFonts w:ascii="Arial" w:hAnsi="Arial" w:cs="Arial"/>
        </w:rPr>
        <w:t xml:space="preserve">Caracterizar el vínculo madre e hija </w:t>
      </w:r>
      <w:r w:rsidR="00373453">
        <w:rPr>
          <w:rFonts w:ascii="Arial" w:hAnsi="Arial" w:cs="Arial"/>
        </w:rPr>
        <w:t xml:space="preserve">de una paciente adulta adoptada durante </w:t>
      </w:r>
      <w:r w:rsidR="00F063EF">
        <w:rPr>
          <w:rFonts w:ascii="Arial" w:hAnsi="Arial" w:cs="Arial"/>
        </w:rPr>
        <w:t>sus primeros meses de vida</w:t>
      </w:r>
    </w:p>
    <w:p w14:paraId="0F28917B" w14:textId="5E07C40B" w:rsidR="00372AD0" w:rsidRDefault="00372AD0" w:rsidP="00372AD0">
      <w:pPr>
        <w:rPr>
          <w:rFonts w:ascii="Arial" w:hAnsi="Arial" w:cs="Arial"/>
          <w:b/>
          <w:bCs/>
        </w:rPr>
      </w:pPr>
      <w:r>
        <w:rPr>
          <w:rFonts w:ascii="Arial" w:hAnsi="Arial" w:cs="Arial"/>
          <w:b/>
          <w:bCs/>
        </w:rPr>
        <w:t>Objetivos específicos:</w:t>
      </w:r>
    </w:p>
    <w:p w14:paraId="023AC08A" w14:textId="0C5A2EED" w:rsidR="00397D20" w:rsidRDefault="00FA37D8" w:rsidP="00372AD0">
      <w:pPr>
        <w:pStyle w:val="Prrafodelista"/>
        <w:numPr>
          <w:ilvl w:val="0"/>
          <w:numId w:val="2"/>
        </w:numPr>
        <w:rPr>
          <w:rFonts w:ascii="Arial" w:hAnsi="Arial" w:cs="Arial"/>
        </w:rPr>
      </w:pPr>
      <w:r>
        <w:rPr>
          <w:rFonts w:ascii="Arial" w:hAnsi="Arial" w:cs="Arial"/>
        </w:rPr>
        <w:t>Describir</w:t>
      </w:r>
      <w:r w:rsidR="004B50E1">
        <w:rPr>
          <w:rFonts w:ascii="Arial" w:hAnsi="Arial" w:cs="Arial"/>
        </w:rPr>
        <w:t xml:space="preserve"> la experiencia </w:t>
      </w:r>
      <w:r w:rsidR="00AC4C07">
        <w:rPr>
          <w:rFonts w:ascii="Arial" w:hAnsi="Arial" w:cs="Arial"/>
        </w:rPr>
        <w:t>subjetiva</w:t>
      </w:r>
      <w:r w:rsidR="00277DAD">
        <w:rPr>
          <w:rFonts w:ascii="Arial" w:hAnsi="Arial" w:cs="Arial"/>
        </w:rPr>
        <w:t xml:space="preserve"> </w:t>
      </w:r>
      <w:r w:rsidR="00AC4C07">
        <w:rPr>
          <w:rFonts w:ascii="Arial" w:hAnsi="Arial" w:cs="Arial"/>
        </w:rPr>
        <w:t xml:space="preserve">de una paciente </w:t>
      </w:r>
      <w:r w:rsidR="004D6279">
        <w:rPr>
          <w:rFonts w:ascii="Arial" w:hAnsi="Arial" w:cs="Arial"/>
        </w:rPr>
        <w:t xml:space="preserve">adulta adoptada </w:t>
      </w:r>
      <w:proofErr w:type="gramStart"/>
      <w:r w:rsidR="00936E24">
        <w:rPr>
          <w:rFonts w:ascii="Arial" w:hAnsi="Arial" w:cs="Arial"/>
        </w:rPr>
        <w:t>en relación al</w:t>
      </w:r>
      <w:proofErr w:type="gramEnd"/>
      <w:r w:rsidR="00936E24">
        <w:rPr>
          <w:rFonts w:ascii="Arial" w:hAnsi="Arial" w:cs="Arial"/>
        </w:rPr>
        <w:t xml:space="preserve"> vínculo con su madre</w:t>
      </w:r>
    </w:p>
    <w:p w14:paraId="482ED1A9" w14:textId="77777777" w:rsidR="001056C7" w:rsidRPr="001056C7" w:rsidRDefault="00FF1F64" w:rsidP="001056C7">
      <w:pPr>
        <w:pStyle w:val="Prrafodelista"/>
        <w:numPr>
          <w:ilvl w:val="0"/>
          <w:numId w:val="2"/>
        </w:numPr>
        <w:rPr>
          <w:rFonts w:ascii="Arial" w:hAnsi="Arial" w:cs="Arial"/>
        </w:rPr>
      </w:pPr>
      <w:r w:rsidRPr="001056C7">
        <w:rPr>
          <w:rFonts w:ascii="Arial" w:hAnsi="Arial" w:cs="Arial"/>
        </w:rPr>
        <w:t xml:space="preserve">Caracterizar </w:t>
      </w:r>
      <w:r w:rsidR="001056C7" w:rsidRPr="001056C7">
        <w:rPr>
          <w:rFonts w:ascii="Arial" w:hAnsi="Arial" w:cs="Arial"/>
        </w:rPr>
        <w:t>los procesos de simbolización del vínculo madre e hija en el contexto de la adopción</w:t>
      </w:r>
    </w:p>
    <w:p w14:paraId="18B10695" w14:textId="77777777" w:rsidR="00E43B1C" w:rsidRPr="00E43B1C" w:rsidRDefault="00E43B1C" w:rsidP="00E43B1C">
      <w:pPr>
        <w:pStyle w:val="Prrafodelista"/>
        <w:numPr>
          <w:ilvl w:val="0"/>
          <w:numId w:val="2"/>
        </w:numPr>
        <w:rPr>
          <w:rFonts w:ascii="Arial" w:hAnsi="Arial" w:cs="Arial"/>
        </w:rPr>
      </w:pPr>
      <w:r w:rsidRPr="00E43B1C">
        <w:rPr>
          <w:rFonts w:ascii="Arial" w:hAnsi="Arial" w:cs="Arial"/>
        </w:rPr>
        <w:t>Caracterizar los procesos de transmisión entre madre e hija en el contexto de la adopción</w:t>
      </w:r>
    </w:p>
    <w:p w14:paraId="75C33ABD" w14:textId="472E20FA" w:rsidR="00A5494B" w:rsidRDefault="00A5494B" w:rsidP="00E43B1C">
      <w:pPr>
        <w:pStyle w:val="Prrafodelista"/>
        <w:rPr>
          <w:rFonts w:ascii="Arial" w:hAnsi="Arial" w:cs="Arial"/>
        </w:rPr>
      </w:pPr>
    </w:p>
    <w:p w14:paraId="524C1BB3" w14:textId="77777777" w:rsidR="00936E24" w:rsidRPr="00A5494B" w:rsidRDefault="00936E24" w:rsidP="00A5494B">
      <w:pPr>
        <w:ind w:left="720"/>
        <w:rPr>
          <w:rFonts w:ascii="Arial" w:hAnsi="Arial" w:cs="Arial"/>
        </w:rPr>
      </w:pPr>
    </w:p>
    <w:p w14:paraId="3B2F4AAD" w14:textId="40537305" w:rsidR="00C83A06" w:rsidRPr="00D41246" w:rsidRDefault="00D966D9" w:rsidP="00D966D9">
      <w:pPr>
        <w:jc w:val="center"/>
        <w:rPr>
          <w:rFonts w:ascii="Arial" w:hAnsi="Arial" w:cs="Arial"/>
          <w:b/>
          <w:bCs/>
        </w:rPr>
      </w:pPr>
      <w:r w:rsidRPr="00D41246">
        <w:rPr>
          <w:rFonts w:ascii="Arial" w:hAnsi="Arial" w:cs="Arial"/>
          <w:b/>
          <w:bCs/>
        </w:rPr>
        <w:t>M</w:t>
      </w:r>
      <w:r w:rsidR="00352D53">
        <w:rPr>
          <w:rFonts w:ascii="Arial" w:hAnsi="Arial" w:cs="Arial"/>
          <w:b/>
          <w:bCs/>
        </w:rPr>
        <w:t>arco metodológico</w:t>
      </w:r>
    </w:p>
    <w:p w14:paraId="2662D68F" w14:textId="747F3BBD" w:rsidR="00D966D9" w:rsidRDefault="00EF00D4" w:rsidP="00D41246">
      <w:pPr>
        <w:jc w:val="both"/>
        <w:rPr>
          <w:rFonts w:ascii="Arial" w:hAnsi="Arial" w:cs="Arial"/>
          <w:b/>
          <w:bCs/>
        </w:rPr>
      </w:pPr>
      <w:r w:rsidRPr="00EF00D4">
        <w:rPr>
          <w:rFonts w:ascii="Arial" w:hAnsi="Arial" w:cs="Arial"/>
          <w:b/>
          <w:bCs/>
        </w:rPr>
        <w:t xml:space="preserve">Enfoque </w:t>
      </w:r>
      <w:r w:rsidR="009542BF">
        <w:rPr>
          <w:rFonts w:ascii="Arial" w:hAnsi="Arial" w:cs="Arial"/>
          <w:b/>
          <w:bCs/>
        </w:rPr>
        <w:t>de investigación</w:t>
      </w:r>
    </w:p>
    <w:p w14:paraId="5082908F" w14:textId="6A72E4D6" w:rsidR="00FB1336" w:rsidRDefault="00942F36" w:rsidP="00300895">
      <w:pPr>
        <w:spacing w:line="360" w:lineRule="auto"/>
        <w:jc w:val="both"/>
        <w:rPr>
          <w:rFonts w:ascii="Arial" w:hAnsi="Arial" w:cs="Arial"/>
        </w:rPr>
      </w:pPr>
      <w:r>
        <w:rPr>
          <w:rFonts w:ascii="Arial" w:hAnsi="Arial" w:cs="Arial"/>
        </w:rPr>
        <w:tab/>
        <w:t xml:space="preserve">El enfoque </w:t>
      </w:r>
      <w:r w:rsidR="001F2195">
        <w:rPr>
          <w:rFonts w:ascii="Arial" w:hAnsi="Arial" w:cs="Arial"/>
        </w:rPr>
        <w:t xml:space="preserve">que se utilizó para </w:t>
      </w:r>
      <w:r w:rsidR="00166760">
        <w:rPr>
          <w:rFonts w:ascii="Arial" w:hAnsi="Arial" w:cs="Arial"/>
        </w:rPr>
        <w:t>aproximarse</w:t>
      </w:r>
      <w:r w:rsidR="00D229C9">
        <w:rPr>
          <w:rFonts w:ascii="Arial" w:hAnsi="Arial" w:cs="Arial"/>
        </w:rPr>
        <w:t xml:space="preserve"> a la pregunta de </w:t>
      </w:r>
      <w:r w:rsidR="0095408D">
        <w:rPr>
          <w:rFonts w:ascii="Arial" w:hAnsi="Arial" w:cs="Arial"/>
        </w:rPr>
        <w:t>investigación</w:t>
      </w:r>
      <w:r w:rsidR="00D229C9">
        <w:rPr>
          <w:rFonts w:ascii="Arial" w:hAnsi="Arial" w:cs="Arial"/>
        </w:rPr>
        <w:t xml:space="preserve"> </w:t>
      </w:r>
      <w:r w:rsidR="00474D96">
        <w:rPr>
          <w:rFonts w:ascii="Arial" w:hAnsi="Arial" w:cs="Arial"/>
        </w:rPr>
        <w:t>fue</w:t>
      </w:r>
      <w:r w:rsidR="00D229C9">
        <w:rPr>
          <w:rFonts w:ascii="Arial" w:hAnsi="Arial" w:cs="Arial"/>
        </w:rPr>
        <w:t xml:space="preserve"> de </w:t>
      </w:r>
      <w:r w:rsidR="006C234D">
        <w:rPr>
          <w:rFonts w:ascii="Arial" w:hAnsi="Arial" w:cs="Arial"/>
        </w:rPr>
        <w:t xml:space="preserve">orientación </w:t>
      </w:r>
      <w:r w:rsidR="00166760">
        <w:rPr>
          <w:rFonts w:ascii="Arial" w:hAnsi="Arial" w:cs="Arial"/>
        </w:rPr>
        <w:t>cualitativ</w:t>
      </w:r>
      <w:r w:rsidR="0095408D">
        <w:rPr>
          <w:rFonts w:ascii="Arial" w:hAnsi="Arial" w:cs="Arial"/>
        </w:rPr>
        <w:t>a</w:t>
      </w:r>
      <w:r w:rsidR="00166760">
        <w:rPr>
          <w:rFonts w:ascii="Arial" w:hAnsi="Arial" w:cs="Arial"/>
        </w:rPr>
        <w:t xml:space="preserve">. </w:t>
      </w:r>
      <w:r w:rsidR="00296504">
        <w:rPr>
          <w:rFonts w:ascii="Arial" w:hAnsi="Arial" w:cs="Arial"/>
        </w:rPr>
        <w:t>Esta es una posició</w:t>
      </w:r>
      <w:r w:rsidR="009D2ECF">
        <w:rPr>
          <w:rFonts w:ascii="Arial" w:hAnsi="Arial" w:cs="Arial"/>
        </w:rPr>
        <w:t xml:space="preserve">n epistemológica y metodológica que </w:t>
      </w:r>
      <w:r w:rsidR="003E2BF4">
        <w:rPr>
          <w:rFonts w:ascii="Arial" w:hAnsi="Arial" w:cs="Arial"/>
        </w:rPr>
        <w:t xml:space="preserve">tiene por temática el estudio fenomenológico de lo social (Taylor y </w:t>
      </w:r>
      <w:proofErr w:type="spellStart"/>
      <w:r w:rsidR="003E2BF4">
        <w:rPr>
          <w:rFonts w:ascii="Arial" w:hAnsi="Arial" w:cs="Arial"/>
        </w:rPr>
        <w:t>Bodgan</w:t>
      </w:r>
      <w:proofErr w:type="spellEnd"/>
      <w:r w:rsidR="003E2BF4">
        <w:rPr>
          <w:rFonts w:ascii="Arial" w:hAnsi="Arial" w:cs="Arial"/>
        </w:rPr>
        <w:t xml:space="preserve">, </w:t>
      </w:r>
      <w:r w:rsidR="009116B3">
        <w:rPr>
          <w:rFonts w:ascii="Arial" w:hAnsi="Arial" w:cs="Arial"/>
        </w:rPr>
        <w:t>1994), centrándose</w:t>
      </w:r>
      <w:r w:rsidR="0045121B">
        <w:rPr>
          <w:rFonts w:ascii="Arial" w:hAnsi="Arial" w:cs="Arial"/>
        </w:rPr>
        <w:t xml:space="preserve"> en </w:t>
      </w:r>
      <w:r w:rsidR="009116B3">
        <w:rPr>
          <w:rFonts w:ascii="Arial" w:hAnsi="Arial" w:cs="Arial"/>
        </w:rPr>
        <w:t xml:space="preserve">la </w:t>
      </w:r>
      <w:r w:rsidR="00A0759F">
        <w:rPr>
          <w:rFonts w:ascii="Arial" w:hAnsi="Arial" w:cs="Arial"/>
        </w:rPr>
        <w:t xml:space="preserve">exploración de fenómenos complejos en </w:t>
      </w:r>
      <w:r w:rsidR="0045121B">
        <w:rPr>
          <w:rFonts w:ascii="Arial" w:hAnsi="Arial" w:cs="Arial"/>
        </w:rPr>
        <w:t>profundidad</w:t>
      </w:r>
      <w:r w:rsidR="00A4179B">
        <w:rPr>
          <w:rFonts w:ascii="Arial" w:hAnsi="Arial" w:cs="Arial"/>
        </w:rPr>
        <w:t xml:space="preserve">, </w:t>
      </w:r>
      <w:r w:rsidR="00FF31F8">
        <w:rPr>
          <w:rFonts w:ascii="Arial" w:hAnsi="Arial" w:cs="Arial"/>
        </w:rPr>
        <w:t xml:space="preserve">sosteniendo una perspectiva interpretativa de sus significados </w:t>
      </w:r>
      <w:r w:rsidR="0045121B">
        <w:rPr>
          <w:rFonts w:ascii="Arial" w:hAnsi="Arial" w:cs="Arial"/>
        </w:rPr>
        <w:t>(</w:t>
      </w:r>
      <w:r w:rsidR="000D4CCE">
        <w:rPr>
          <w:rFonts w:ascii="Arial" w:hAnsi="Arial" w:cs="Arial"/>
        </w:rPr>
        <w:t xml:space="preserve">Hernández, Fernández y </w:t>
      </w:r>
      <w:r w:rsidR="007A34D6">
        <w:rPr>
          <w:rFonts w:ascii="Arial" w:hAnsi="Arial" w:cs="Arial"/>
        </w:rPr>
        <w:t>Baptista, 2010)</w:t>
      </w:r>
      <w:r w:rsidR="00380F7E">
        <w:rPr>
          <w:rFonts w:ascii="Arial" w:hAnsi="Arial" w:cs="Arial"/>
        </w:rPr>
        <w:t>. A</w:t>
      </w:r>
      <w:r w:rsidR="00AB5909">
        <w:rPr>
          <w:rFonts w:ascii="Arial" w:hAnsi="Arial" w:cs="Arial"/>
        </w:rPr>
        <w:t xml:space="preserve">sí, </w:t>
      </w:r>
      <w:r w:rsidR="00444AFA">
        <w:rPr>
          <w:rFonts w:ascii="Arial" w:hAnsi="Arial" w:cs="Arial"/>
        </w:rPr>
        <w:t>analiza</w:t>
      </w:r>
      <w:r w:rsidR="0038621B">
        <w:rPr>
          <w:rFonts w:ascii="Arial" w:hAnsi="Arial" w:cs="Arial"/>
        </w:rPr>
        <w:t xml:space="preserve"> y estudia</w:t>
      </w:r>
      <w:r w:rsidR="00444AFA">
        <w:rPr>
          <w:rFonts w:ascii="Arial" w:hAnsi="Arial" w:cs="Arial"/>
        </w:rPr>
        <w:t xml:space="preserve"> desde </w:t>
      </w:r>
      <w:r w:rsidR="009F02C5">
        <w:rPr>
          <w:rFonts w:ascii="Arial" w:hAnsi="Arial" w:cs="Arial"/>
        </w:rPr>
        <w:t xml:space="preserve">la particularidad de los contextos locales, </w:t>
      </w:r>
      <w:r w:rsidR="006B2DD8">
        <w:rPr>
          <w:rFonts w:ascii="Arial" w:hAnsi="Arial" w:cs="Arial"/>
        </w:rPr>
        <w:t>atendiendo a su tiempo y espacio específicos</w:t>
      </w:r>
      <w:r w:rsidR="00453B92">
        <w:rPr>
          <w:rFonts w:ascii="Arial" w:hAnsi="Arial" w:cs="Arial"/>
        </w:rPr>
        <w:t>, en una práctica real y situada</w:t>
      </w:r>
      <w:r w:rsidR="006B2DD8">
        <w:rPr>
          <w:rFonts w:ascii="Arial" w:hAnsi="Arial" w:cs="Arial"/>
        </w:rPr>
        <w:t xml:space="preserve"> (</w:t>
      </w:r>
      <w:proofErr w:type="spellStart"/>
      <w:r w:rsidR="006B2DD8">
        <w:rPr>
          <w:rFonts w:ascii="Arial" w:hAnsi="Arial" w:cs="Arial"/>
        </w:rPr>
        <w:t>Flick</w:t>
      </w:r>
      <w:proofErr w:type="spellEnd"/>
      <w:r w:rsidR="006B2DD8">
        <w:rPr>
          <w:rFonts w:ascii="Arial" w:hAnsi="Arial" w:cs="Arial"/>
        </w:rPr>
        <w:t xml:space="preserve">, </w:t>
      </w:r>
      <w:r w:rsidR="00C97D9A">
        <w:rPr>
          <w:rFonts w:ascii="Arial" w:hAnsi="Arial" w:cs="Arial"/>
        </w:rPr>
        <w:t>2004)</w:t>
      </w:r>
      <w:r w:rsidR="00453B92">
        <w:rPr>
          <w:rFonts w:ascii="Arial" w:hAnsi="Arial" w:cs="Arial"/>
        </w:rPr>
        <w:t>.</w:t>
      </w:r>
    </w:p>
    <w:p w14:paraId="76416EA4" w14:textId="1A1F6E97" w:rsidR="00AE69D5" w:rsidRDefault="00352D53" w:rsidP="00300895">
      <w:pPr>
        <w:spacing w:line="360" w:lineRule="auto"/>
        <w:jc w:val="both"/>
        <w:rPr>
          <w:rFonts w:ascii="Arial" w:hAnsi="Arial" w:cs="Arial"/>
        </w:rPr>
      </w:pPr>
      <w:r>
        <w:rPr>
          <w:rFonts w:ascii="Arial" w:hAnsi="Arial" w:cs="Arial"/>
        </w:rPr>
        <w:tab/>
      </w:r>
      <w:r w:rsidR="00E113CE">
        <w:rPr>
          <w:rFonts w:ascii="Arial" w:hAnsi="Arial" w:cs="Arial"/>
        </w:rPr>
        <w:t>L</w:t>
      </w:r>
      <w:r w:rsidR="00133887">
        <w:rPr>
          <w:rFonts w:ascii="Arial" w:hAnsi="Arial" w:cs="Arial"/>
        </w:rPr>
        <w:t>a investigación cualitativa</w:t>
      </w:r>
      <w:r w:rsidR="00070FE8">
        <w:rPr>
          <w:rFonts w:ascii="Arial" w:hAnsi="Arial" w:cs="Arial"/>
        </w:rPr>
        <w:t xml:space="preserve"> </w:t>
      </w:r>
      <w:r w:rsidR="00133887">
        <w:rPr>
          <w:rFonts w:ascii="Arial" w:hAnsi="Arial" w:cs="Arial"/>
        </w:rPr>
        <w:t xml:space="preserve">permite </w:t>
      </w:r>
      <w:r w:rsidR="007541F2">
        <w:rPr>
          <w:rFonts w:ascii="Arial" w:hAnsi="Arial" w:cs="Arial"/>
        </w:rPr>
        <w:t>analizar</w:t>
      </w:r>
      <w:r w:rsidR="009542BF">
        <w:rPr>
          <w:rFonts w:ascii="Arial" w:hAnsi="Arial" w:cs="Arial"/>
        </w:rPr>
        <w:t xml:space="preserve"> </w:t>
      </w:r>
      <w:r w:rsidR="00070FE8">
        <w:rPr>
          <w:rFonts w:ascii="Arial" w:hAnsi="Arial" w:cs="Arial"/>
        </w:rPr>
        <w:t xml:space="preserve">la particularidad del objeto a estudiar, poniendo especial atención a detalles </w:t>
      </w:r>
      <w:r w:rsidR="009542BF">
        <w:rPr>
          <w:rFonts w:ascii="Arial" w:hAnsi="Arial" w:cs="Arial"/>
        </w:rPr>
        <w:t xml:space="preserve">de fenómenos </w:t>
      </w:r>
      <w:r w:rsidR="00070FE8">
        <w:rPr>
          <w:rFonts w:ascii="Arial" w:hAnsi="Arial" w:cs="Arial"/>
        </w:rPr>
        <w:t xml:space="preserve">complejos </w:t>
      </w:r>
      <w:r w:rsidR="00000703">
        <w:rPr>
          <w:rFonts w:ascii="Arial" w:hAnsi="Arial" w:cs="Arial"/>
        </w:rPr>
        <w:t xml:space="preserve">propios de la subjetividad, que pueden fácilmente extraviarse al investigar con otros métodos (Strauss y </w:t>
      </w:r>
      <w:proofErr w:type="spellStart"/>
      <w:r w:rsidR="00000703">
        <w:rPr>
          <w:rFonts w:ascii="Arial" w:hAnsi="Arial" w:cs="Arial"/>
        </w:rPr>
        <w:t>Corbin</w:t>
      </w:r>
      <w:proofErr w:type="spellEnd"/>
      <w:r w:rsidR="002C59B9">
        <w:rPr>
          <w:rFonts w:ascii="Arial" w:hAnsi="Arial" w:cs="Arial"/>
        </w:rPr>
        <w:t>, 2002</w:t>
      </w:r>
      <w:r w:rsidR="00000703">
        <w:rPr>
          <w:rFonts w:ascii="Arial" w:hAnsi="Arial" w:cs="Arial"/>
        </w:rPr>
        <w:t>)</w:t>
      </w:r>
      <w:r w:rsidR="00E73270">
        <w:rPr>
          <w:rFonts w:ascii="Arial" w:hAnsi="Arial" w:cs="Arial"/>
        </w:rPr>
        <w:t xml:space="preserve">. </w:t>
      </w:r>
      <w:r w:rsidR="00AE69D5">
        <w:rPr>
          <w:rFonts w:ascii="Arial" w:hAnsi="Arial" w:cs="Arial"/>
        </w:rPr>
        <w:t>Entonces</w:t>
      </w:r>
      <w:r w:rsidR="00E73270">
        <w:rPr>
          <w:rFonts w:ascii="Arial" w:hAnsi="Arial" w:cs="Arial"/>
        </w:rPr>
        <w:t xml:space="preserve">, </w:t>
      </w:r>
      <w:r w:rsidR="00310C51">
        <w:rPr>
          <w:rFonts w:ascii="Arial" w:hAnsi="Arial" w:cs="Arial"/>
        </w:rPr>
        <w:t xml:space="preserve">el enfoque cualitativo es interpretativo, </w:t>
      </w:r>
      <w:proofErr w:type="spellStart"/>
      <w:r w:rsidR="00310C51">
        <w:rPr>
          <w:rFonts w:ascii="Arial" w:hAnsi="Arial" w:cs="Arial"/>
        </w:rPr>
        <w:t>multimetódico</w:t>
      </w:r>
      <w:proofErr w:type="spellEnd"/>
      <w:r w:rsidR="00310C51">
        <w:rPr>
          <w:rFonts w:ascii="Arial" w:hAnsi="Arial" w:cs="Arial"/>
        </w:rPr>
        <w:t xml:space="preserve"> y reflexivo,</w:t>
      </w:r>
      <w:r w:rsidR="00F445F1">
        <w:rPr>
          <w:rFonts w:ascii="Arial" w:hAnsi="Arial" w:cs="Arial"/>
        </w:rPr>
        <w:t xml:space="preserve"> </w:t>
      </w:r>
      <w:r w:rsidR="0055184E">
        <w:rPr>
          <w:rFonts w:ascii="Arial" w:hAnsi="Arial" w:cs="Arial"/>
        </w:rPr>
        <w:t xml:space="preserve">sensible </w:t>
      </w:r>
      <w:r w:rsidR="00F445F1">
        <w:rPr>
          <w:rFonts w:ascii="Arial" w:hAnsi="Arial" w:cs="Arial"/>
        </w:rPr>
        <w:t>al contexto de producción de datos</w:t>
      </w:r>
      <w:r w:rsidR="0055184E">
        <w:rPr>
          <w:rFonts w:ascii="Arial" w:hAnsi="Arial" w:cs="Arial"/>
        </w:rPr>
        <w:t>, constituyendo un proceso interactivo donde intervienen tanto el investigador como los participantes (</w:t>
      </w:r>
      <w:proofErr w:type="spellStart"/>
      <w:r w:rsidR="0055184E">
        <w:rPr>
          <w:rFonts w:ascii="Arial" w:hAnsi="Arial" w:cs="Arial"/>
        </w:rPr>
        <w:t>Vasilachis</w:t>
      </w:r>
      <w:proofErr w:type="spellEnd"/>
      <w:r w:rsidR="0055184E">
        <w:rPr>
          <w:rFonts w:ascii="Arial" w:hAnsi="Arial" w:cs="Arial"/>
        </w:rPr>
        <w:t>, 2006)</w:t>
      </w:r>
      <w:r w:rsidR="002C59B9">
        <w:rPr>
          <w:rFonts w:ascii="Arial" w:hAnsi="Arial" w:cs="Arial"/>
        </w:rPr>
        <w:t>,</w:t>
      </w:r>
      <w:r w:rsidR="00FD46F7">
        <w:rPr>
          <w:rFonts w:ascii="Arial" w:hAnsi="Arial" w:cs="Arial"/>
        </w:rPr>
        <w:t xml:space="preserve"> pues</w:t>
      </w:r>
      <w:r w:rsidR="002C59B9">
        <w:rPr>
          <w:rFonts w:ascii="Arial" w:hAnsi="Arial" w:cs="Arial"/>
        </w:rPr>
        <w:t xml:space="preserve"> </w:t>
      </w:r>
      <w:r w:rsidR="00CB6727">
        <w:rPr>
          <w:rFonts w:ascii="Arial" w:hAnsi="Arial" w:cs="Arial"/>
        </w:rPr>
        <w:t xml:space="preserve">quien investiga advierte los efectos </w:t>
      </w:r>
      <w:r w:rsidR="00FD46F7">
        <w:rPr>
          <w:rFonts w:ascii="Arial" w:hAnsi="Arial" w:cs="Arial"/>
        </w:rPr>
        <w:t>que causa</w:t>
      </w:r>
      <w:r w:rsidR="00CB6727">
        <w:rPr>
          <w:rFonts w:ascii="Arial" w:hAnsi="Arial" w:cs="Arial"/>
        </w:rPr>
        <w:t xml:space="preserve"> </w:t>
      </w:r>
      <w:r w:rsidR="00FD46F7">
        <w:rPr>
          <w:rFonts w:ascii="Arial" w:hAnsi="Arial" w:cs="Arial"/>
        </w:rPr>
        <w:t xml:space="preserve">en ellos (Taylor y </w:t>
      </w:r>
      <w:proofErr w:type="spellStart"/>
      <w:r w:rsidR="00FD46F7">
        <w:rPr>
          <w:rFonts w:ascii="Arial" w:hAnsi="Arial" w:cs="Arial"/>
        </w:rPr>
        <w:t>Bodgan</w:t>
      </w:r>
      <w:proofErr w:type="spellEnd"/>
      <w:r w:rsidR="00FD46F7">
        <w:rPr>
          <w:rFonts w:ascii="Arial" w:hAnsi="Arial" w:cs="Arial"/>
        </w:rPr>
        <w:t xml:space="preserve">, 1994). </w:t>
      </w:r>
      <w:r w:rsidR="00CB0FFC">
        <w:rPr>
          <w:rFonts w:ascii="Arial" w:hAnsi="Arial" w:cs="Arial"/>
        </w:rPr>
        <w:t xml:space="preserve"> </w:t>
      </w:r>
    </w:p>
    <w:p w14:paraId="4CD8791A" w14:textId="1A59F421" w:rsidR="00B044E5" w:rsidRDefault="00B044E5" w:rsidP="00300895">
      <w:pPr>
        <w:spacing w:line="360" w:lineRule="auto"/>
        <w:jc w:val="both"/>
        <w:rPr>
          <w:rFonts w:ascii="Arial" w:hAnsi="Arial" w:cs="Arial"/>
          <w:b/>
          <w:bCs/>
        </w:rPr>
      </w:pPr>
      <w:r>
        <w:rPr>
          <w:rFonts w:ascii="Arial" w:hAnsi="Arial" w:cs="Arial"/>
          <w:b/>
          <w:bCs/>
        </w:rPr>
        <w:t>Estudio de caso</w:t>
      </w:r>
    </w:p>
    <w:p w14:paraId="444E2B3A" w14:textId="3E254A9D" w:rsidR="00B044E5" w:rsidRDefault="00B044E5" w:rsidP="00300895">
      <w:pPr>
        <w:spacing w:line="360" w:lineRule="auto"/>
        <w:jc w:val="both"/>
        <w:rPr>
          <w:rFonts w:ascii="Arial" w:hAnsi="Arial" w:cs="Arial"/>
        </w:rPr>
      </w:pPr>
      <w:r>
        <w:rPr>
          <w:rFonts w:ascii="Arial" w:hAnsi="Arial" w:cs="Arial"/>
          <w:b/>
          <w:bCs/>
        </w:rPr>
        <w:lastRenderedPageBreak/>
        <w:tab/>
      </w:r>
      <w:r w:rsidR="00DF547E">
        <w:rPr>
          <w:rFonts w:ascii="Arial" w:hAnsi="Arial" w:cs="Arial"/>
        </w:rPr>
        <w:t xml:space="preserve">Considerando el acento que la investigación cualitativa deposita en la particularidad de los fenómenos a estudiar, además de su énfasis en el contexto local, esta se vuelve una herramienta idónea al momento de estudiar la subjetividad. </w:t>
      </w:r>
      <w:r w:rsidR="007E3FAD">
        <w:rPr>
          <w:rFonts w:ascii="Arial" w:hAnsi="Arial" w:cs="Arial"/>
        </w:rPr>
        <w:t xml:space="preserve">La presente indagación </w:t>
      </w:r>
      <w:r w:rsidR="0054634D">
        <w:rPr>
          <w:rFonts w:ascii="Arial" w:hAnsi="Arial" w:cs="Arial"/>
        </w:rPr>
        <w:t xml:space="preserve">utilizó como metodología el estudio de caso. </w:t>
      </w:r>
    </w:p>
    <w:p w14:paraId="35C7D12B" w14:textId="26D5C56E" w:rsidR="001D12A3" w:rsidRDefault="001D12A3" w:rsidP="00300895">
      <w:pPr>
        <w:spacing w:line="360" w:lineRule="auto"/>
        <w:jc w:val="both"/>
        <w:rPr>
          <w:rFonts w:ascii="Arial" w:hAnsi="Arial" w:cs="Arial"/>
        </w:rPr>
      </w:pPr>
      <w:r>
        <w:rPr>
          <w:rFonts w:ascii="Arial" w:hAnsi="Arial" w:cs="Arial"/>
        </w:rPr>
        <w:tab/>
      </w:r>
      <w:r w:rsidR="004F165B">
        <w:rPr>
          <w:rFonts w:ascii="Arial" w:hAnsi="Arial" w:cs="Arial"/>
        </w:rPr>
        <w:t>La investigación o estudio de caso</w:t>
      </w:r>
      <w:r w:rsidR="0091510F">
        <w:rPr>
          <w:rFonts w:ascii="Arial" w:hAnsi="Arial" w:cs="Arial"/>
        </w:rPr>
        <w:t xml:space="preserve"> se entenderá </w:t>
      </w:r>
      <w:r w:rsidR="00B3097E">
        <w:rPr>
          <w:rFonts w:ascii="Arial" w:hAnsi="Arial" w:cs="Arial"/>
        </w:rPr>
        <w:t xml:space="preserve">como el examen intensivo de un fenómeno, que rescata su complejidad </w:t>
      </w:r>
      <w:r w:rsidR="00726C7A">
        <w:rPr>
          <w:rFonts w:ascii="Arial" w:hAnsi="Arial" w:cs="Arial"/>
        </w:rPr>
        <w:t xml:space="preserve">y toma en consideración el detalle, su proceso y la interacción de los contextos </w:t>
      </w:r>
      <w:sdt>
        <w:sdtPr>
          <w:rPr>
            <w:rFonts w:ascii="Arial" w:hAnsi="Arial" w:cs="Arial"/>
          </w:rPr>
          <w:id w:val="-742635880"/>
          <w:citation/>
        </w:sdtPr>
        <w:sdtEndPr/>
        <w:sdtContent>
          <w:r w:rsidR="00E9158D">
            <w:rPr>
              <w:rFonts w:ascii="Arial" w:hAnsi="Arial" w:cs="Arial"/>
            </w:rPr>
            <w:fldChar w:fldCharType="begin"/>
          </w:r>
          <w:r w:rsidR="00E9158D">
            <w:rPr>
              <w:rFonts w:ascii="Arial" w:hAnsi="Arial" w:cs="Arial"/>
              <w:lang w:val="es-MX"/>
            </w:rPr>
            <w:instrText xml:space="preserve"> CITATION Mejía2004 \l 2058 </w:instrText>
          </w:r>
          <w:r w:rsidR="00E9158D">
            <w:rPr>
              <w:rFonts w:ascii="Arial" w:hAnsi="Arial" w:cs="Arial"/>
            </w:rPr>
            <w:fldChar w:fldCharType="separate"/>
          </w:r>
          <w:r w:rsidR="0034709A" w:rsidRPr="0034709A">
            <w:rPr>
              <w:rFonts w:ascii="Arial" w:hAnsi="Arial" w:cs="Arial"/>
              <w:noProof/>
              <w:lang w:val="es-MX"/>
            </w:rPr>
            <w:t>(Mejía, 2004)</w:t>
          </w:r>
          <w:r w:rsidR="00E9158D">
            <w:rPr>
              <w:rFonts w:ascii="Arial" w:hAnsi="Arial" w:cs="Arial"/>
            </w:rPr>
            <w:fldChar w:fldCharType="end"/>
          </w:r>
        </w:sdtContent>
      </w:sdt>
      <w:r w:rsidR="00E9158D">
        <w:rPr>
          <w:rFonts w:ascii="Arial" w:hAnsi="Arial" w:cs="Arial"/>
        </w:rPr>
        <w:t xml:space="preserve">. </w:t>
      </w:r>
      <w:r w:rsidR="00E10739">
        <w:rPr>
          <w:rFonts w:ascii="Arial" w:hAnsi="Arial" w:cs="Arial"/>
        </w:rPr>
        <w:t xml:space="preserve">Así, </w:t>
      </w:r>
      <w:r w:rsidR="00AC6E26">
        <w:rPr>
          <w:rFonts w:ascii="Arial" w:hAnsi="Arial" w:cs="Arial"/>
        </w:rPr>
        <w:t>estudia profundamente</w:t>
      </w:r>
      <w:r w:rsidR="00E10739">
        <w:rPr>
          <w:rFonts w:ascii="Arial" w:hAnsi="Arial" w:cs="Arial"/>
        </w:rPr>
        <w:t xml:space="preserve"> </w:t>
      </w:r>
      <w:r w:rsidR="00326FD4">
        <w:rPr>
          <w:rFonts w:ascii="Arial" w:hAnsi="Arial" w:cs="Arial"/>
        </w:rPr>
        <w:t xml:space="preserve">un caso singular </w:t>
      </w:r>
      <w:r w:rsidR="00B04299">
        <w:rPr>
          <w:rFonts w:ascii="Arial" w:hAnsi="Arial" w:cs="Arial"/>
        </w:rPr>
        <w:t xml:space="preserve">en su particularidad </w:t>
      </w:r>
      <w:r w:rsidR="00D614ED">
        <w:rPr>
          <w:rFonts w:ascii="Arial" w:hAnsi="Arial" w:cs="Arial"/>
        </w:rPr>
        <w:t xml:space="preserve">para comprender su actividad en determinadas circunstancias </w:t>
      </w:r>
      <w:sdt>
        <w:sdtPr>
          <w:rPr>
            <w:rFonts w:ascii="Arial" w:hAnsi="Arial" w:cs="Arial"/>
          </w:rPr>
          <w:id w:val="106547843"/>
          <w:citation/>
        </w:sdtPr>
        <w:sdtEndPr/>
        <w:sdtContent>
          <w:r w:rsidR="00B04299">
            <w:rPr>
              <w:rFonts w:ascii="Arial" w:hAnsi="Arial" w:cs="Arial"/>
            </w:rPr>
            <w:fldChar w:fldCharType="begin"/>
          </w:r>
          <w:r w:rsidR="00B04299">
            <w:rPr>
              <w:rFonts w:ascii="Arial" w:hAnsi="Arial" w:cs="Arial"/>
              <w:lang w:val="es-MX"/>
            </w:rPr>
            <w:instrText xml:space="preserve"> CITATION Stake1999 \l 2058 </w:instrText>
          </w:r>
          <w:r w:rsidR="00B04299">
            <w:rPr>
              <w:rFonts w:ascii="Arial" w:hAnsi="Arial" w:cs="Arial"/>
            </w:rPr>
            <w:fldChar w:fldCharType="separate"/>
          </w:r>
          <w:r w:rsidR="0034709A" w:rsidRPr="0034709A">
            <w:rPr>
              <w:rFonts w:ascii="Arial" w:hAnsi="Arial" w:cs="Arial"/>
              <w:noProof/>
              <w:lang w:val="es-MX"/>
            </w:rPr>
            <w:t>(Stake, 1999)</w:t>
          </w:r>
          <w:r w:rsidR="00B04299">
            <w:rPr>
              <w:rFonts w:ascii="Arial" w:hAnsi="Arial" w:cs="Arial"/>
            </w:rPr>
            <w:fldChar w:fldCharType="end"/>
          </w:r>
        </w:sdtContent>
      </w:sdt>
      <w:r w:rsidR="00B04299">
        <w:rPr>
          <w:rFonts w:ascii="Arial" w:hAnsi="Arial" w:cs="Arial"/>
        </w:rPr>
        <w:t>.</w:t>
      </w:r>
    </w:p>
    <w:p w14:paraId="470D3264" w14:textId="430ABA61" w:rsidR="00447FD2" w:rsidRDefault="00920838" w:rsidP="00300895">
      <w:pPr>
        <w:spacing w:line="360" w:lineRule="auto"/>
        <w:jc w:val="both"/>
        <w:rPr>
          <w:rFonts w:ascii="Arial" w:hAnsi="Arial" w:cs="Arial"/>
        </w:rPr>
      </w:pPr>
      <w:r>
        <w:rPr>
          <w:rFonts w:ascii="Arial" w:hAnsi="Arial" w:cs="Arial"/>
        </w:rPr>
        <w:tab/>
      </w:r>
      <w:r w:rsidR="005C2491">
        <w:rPr>
          <w:rFonts w:ascii="Arial" w:hAnsi="Arial" w:cs="Arial"/>
        </w:rPr>
        <w:t>En el estudio de caso la posición de</w:t>
      </w:r>
      <w:r w:rsidR="00657EFD">
        <w:rPr>
          <w:rFonts w:ascii="Arial" w:hAnsi="Arial" w:cs="Arial"/>
        </w:rPr>
        <w:t xml:space="preserve"> quien investiga no es neutral, más bien se fomenta el aporte de las perspectivas propias</w:t>
      </w:r>
      <w:r w:rsidR="00967E1C">
        <w:rPr>
          <w:rFonts w:ascii="Arial" w:hAnsi="Arial" w:cs="Arial"/>
        </w:rPr>
        <w:t xml:space="preserve"> en el proceso de interpretación</w:t>
      </w:r>
      <w:r w:rsidR="00657EFD">
        <w:rPr>
          <w:rFonts w:ascii="Arial" w:hAnsi="Arial" w:cs="Arial"/>
        </w:rPr>
        <w:t xml:space="preserve"> </w:t>
      </w:r>
      <w:sdt>
        <w:sdtPr>
          <w:rPr>
            <w:rFonts w:ascii="Arial" w:hAnsi="Arial" w:cs="Arial"/>
          </w:rPr>
          <w:id w:val="-573277689"/>
          <w:citation/>
        </w:sdtPr>
        <w:sdtEndPr/>
        <w:sdtContent>
          <w:r w:rsidR="00952523">
            <w:rPr>
              <w:rFonts w:ascii="Arial" w:hAnsi="Arial" w:cs="Arial"/>
            </w:rPr>
            <w:fldChar w:fldCharType="begin"/>
          </w:r>
          <w:r w:rsidR="00952523">
            <w:rPr>
              <w:rFonts w:ascii="Arial" w:hAnsi="Arial" w:cs="Arial"/>
              <w:lang w:val="es-MX"/>
            </w:rPr>
            <w:instrText xml:space="preserve"> CITATION Stake1999 \l 2058 </w:instrText>
          </w:r>
          <w:r w:rsidR="00952523">
            <w:rPr>
              <w:rFonts w:ascii="Arial" w:hAnsi="Arial" w:cs="Arial"/>
            </w:rPr>
            <w:fldChar w:fldCharType="separate"/>
          </w:r>
          <w:r w:rsidR="0034709A" w:rsidRPr="0034709A">
            <w:rPr>
              <w:rFonts w:ascii="Arial" w:hAnsi="Arial" w:cs="Arial"/>
              <w:noProof/>
              <w:lang w:val="es-MX"/>
            </w:rPr>
            <w:t>(Stake, 1999)</w:t>
          </w:r>
          <w:r w:rsidR="00952523">
            <w:rPr>
              <w:rFonts w:ascii="Arial" w:hAnsi="Arial" w:cs="Arial"/>
            </w:rPr>
            <w:fldChar w:fldCharType="end"/>
          </w:r>
        </w:sdtContent>
      </w:sdt>
      <w:r w:rsidR="00FA463E">
        <w:rPr>
          <w:rFonts w:ascii="Arial" w:hAnsi="Arial" w:cs="Arial"/>
        </w:rPr>
        <w:t xml:space="preserve">. En este sentido, </w:t>
      </w:r>
      <w:r w:rsidR="0062062B">
        <w:rPr>
          <w:rFonts w:ascii="Arial" w:hAnsi="Arial" w:cs="Arial"/>
        </w:rPr>
        <w:t>la investigación</w:t>
      </w:r>
      <w:r w:rsidR="00285EDC">
        <w:rPr>
          <w:rFonts w:ascii="Arial" w:hAnsi="Arial" w:cs="Arial"/>
        </w:rPr>
        <w:t xml:space="preserve"> no es necesariamente reproducible</w:t>
      </w:r>
      <w:r w:rsidR="00385CD8">
        <w:rPr>
          <w:rFonts w:ascii="Arial" w:hAnsi="Arial" w:cs="Arial"/>
        </w:rPr>
        <w:t xml:space="preserve"> </w:t>
      </w:r>
      <w:r w:rsidR="00967E1C">
        <w:rPr>
          <w:rFonts w:ascii="Arial" w:hAnsi="Arial" w:cs="Arial"/>
        </w:rPr>
        <w:t>en otros casos</w:t>
      </w:r>
      <w:r w:rsidR="00577C31">
        <w:rPr>
          <w:rFonts w:ascii="Arial" w:hAnsi="Arial" w:cs="Arial"/>
        </w:rPr>
        <w:t>, sin embargo, esto no afecta su calidad</w:t>
      </w:r>
      <w:r w:rsidR="005E1532">
        <w:rPr>
          <w:rFonts w:ascii="Arial" w:hAnsi="Arial" w:cs="Arial"/>
        </w:rPr>
        <w:t>, pues est</w:t>
      </w:r>
      <w:r w:rsidR="00476551">
        <w:rPr>
          <w:rFonts w:ascii="Arial" w:hAnsi="Arial" w:cs="Arial"/>
        </w:rPr>
        <w:t>a</w:t>
      </w:r>
      <w:r w:rsidR="005E1532">
        <w:rPr>
          <w:rFonts w:ascii="Arial" w:hAnsi="Arial" w:cs="Arial"/>
        </w:rPr>
        <w:t xml:space="preserve"> </w:t>
      </w:r>
      <w:r w:rsidR="0087030B">
        <w:rPr>
          <w:rFonts w:ascii="Arial" w:hAnsi="Arial" w:cs="Arial"/>
        </w:rPr>
        <w:t>depende del valor de los significa</w:t>
      </w:r>
      <w:r w:rsidR="008E4F8D">
        <w:rPr>
          <w:rFonts w:ascii="Arial" w:hAnsi="Arial" w:cs="Arial"/>
        </w:rPr>
        <w:t>dos que se genera</w:t>
      </w:r>
      <w:r w:rsidR="00F72CCA">
        <w:rPr>
          <w:rFonts w:ascii="Arial" w:hAnsi="Arial" w:cs="Arial"/>
        </w:rPr>
        <w:t>n</w:t>
      </w:r>
      <w:sdt>
        <w:sdtPr>
          <w:rPr>
            <w:rFonts w:ascii="Arial" w:hAnsi="Arial" w:cs="Arial"/>
          </w:rPr>
          <w:id w:val="318244692"/>
          <w:citation/>
        </w:sdtPr>
        <w:sdtEndPr/>
        <w:sdtContent>
          <w:r w:rsidR="005E1532">
            <w:rPr>
              <w:rFonts w:ascii="Arial" w:hAnsi="Arial" w:cs="Arial"/>
            </w:rPr>
            <w:fldChar w:fldCharType="begin"/>
          </w:r>
          <w:r w:rsidR="005E1532">
            <w:rPr>
              <w:rFonts w:ascii="Arial" w:hAnsi="Arial" w:cs="Arial"/>
              <w:lang w:val="es-MX"/>
            </w:rPr>
            <w:instrText xml:space="preserve"> CITATION Stake1999 \l 2058 </w:instrText>
          </w:r>
          <w:r w:rsidR="005E1532">
            <w:rPr>
              <w:rFonts w:ascii="Arial" w:hAnsi="Arial" w:cs="Arial"/>
            </w:rPr>
            <w:fldChar w:fldCharType="separate"/>
          </w:r>
          <w:r w:rsidR="0034709A">
            <w:rPr>
              <w:rFonts w:ascii="Arial" w:hAnsi="Arial" w:cs="Arial"/>
              <w:noProof/>
              <w:lang w:val="es-MX"/>
            </w:rPr>
            <w:t xml:space="preserve"> </w:t>
          </w:r>
          <w:r w:rsidR="0034709A" w:rsidRPr="0034709A">
            <w:rPr>
              <w:rFonts w:ascii="Arial" w:hAnsi="Arial" w:cs="Arial"/>
              <w:noProof/>
              <w:lang w:val="es-MX"/>
            </w:rPr>
            <w:t>(Stake, 1999)</w:t>
          </w:r>
          <w:r w:rsidR="005E1532">
            <w:rPr>
              <w:rFonts w:ascii="Arial" w:hAnsi="Arial" w:cs="Arial"/>
            </w:rPr>
            <w:fldChar w:fldCharType="end"/>
          </w:r>
        </w:sdtContent>
      </w:sdt>
      <w:r w:rsidR="005E1532">
        <w:rPr>
          <w:rFonts w:ascii="Arial" w:hAnsi="Arial" w:cs="Arial"/>
        </w:rPr>
        <w:t>.</w:t>
      </w:r>
      <w:r w:rsidR="00E75B4B">
        <w:rPr>
          <w:rFonts w:ascii="Arial" w:hAnsi="Arial" w:cs="Arial"/>
        </w:rPr>
        <w:t xml:space="preserve"> </w:t>
      </w:r>
      <w:r w:rsidR="00443BBA">
        <w:rPr>
          <w:rFonts w:ascii="Arial" w:hAnsi="Arial" w:cs="Arial"/>
        </w:rPr>
        <w:t>Asimismo, no se legitima por la cantidad de sujetos estudiados</w:t>
      </w:r>
      <w:r w:rsidR="008A444D">
        <w:rPr>
          <w:rFonts w:ascii="Arial" w:hAnsi="Arial" w:cs="Arial"/>
        </w:rPr>
        <w:t xml:space="preserve">, sino por la cualidad de su expresión </w:t>
      </w:r>
      <w:sdt>
        <w:sdtPr>
          <w:rPr>
            <w:rFonts w:ascii="Arial" w:hAnsi="Arial" w:cs="Arial"/>
          </w:rPr>
          <w:id w:val="-259374893"/>
          <w:citation/>
        </w:sdtPr>
        <w:sdtEndPr/>
        <w:sdtContent>
          <w:r w:rsidR="00C965FB">
            <w:rPr>
              <w:rFonts w:ascii="Arial" w:hAnsi="Arial" w:cs="Arial"/>
            </w:rPr>
            <w:fldChar w:fldCharType="begin"/>
          </w:r>
          <w:r w:rsidR="00C965FB">
            <w:rPr>
              <w:rFonts w:ascii="Arial" w:hAnsi="Arial" w:cs="Arial"/>
              <w:lang w:val="es-MX"/>
            </w:rPr>
            <w:instrText xml:space="preserve"> CITATION Fer00 \l 2058 </w:instrText>
          </w:r>
          <w:r w:rsidR="00C965FB">
            <w:rPr>
              <w:rFonts w:ascii="Arial" w:hAnsi="Arial" w:cs="Arial"/>
            </w:rPr>
            <w:fldChar w:fldCharType="separate"/>
          </w:r>
          <w:r w:rsidR="0034709A" w:rsidRPr="0034709A">
            <w:rPr>
              <w:rFonts w:ascii="Arial" w:hAnsi="Arial" w:cs="Arial"/>
              <w:noProof/>
              <w:lang w:val="es-MX"/>
            </w:rPr>
            <w:t>(González, 2000)</w:t>
          </w:r>
          <w:r w:rsidR="00C965FB">
            <w:rPr>
              <w:rFonts w:ascii="Arial" w:hAnsi="Arial" w:cs="Arial"/>
            </w:rPr>
            <w:fldChar w:fldCharType="end"/>
          </w:r>
        </w:sdtContent>
      </w:sdt>
      <w:r w:rsidR="00C965FB">
        <w:rPr>
          <w:rFonts w:ascii="Arial" w:hAnsi="Arial" w:cs="Arial"/>
        </w:rPr>
        <w:t xml:space="preserve">. </w:t>
      </w:r>
    </w:p>
    <w:p w14:paraId="5E77EC01" w14:textId="3BE7D396" w:rsidR="00245B45" w:rsidRDefault="00A30A56" w:rsidP="00245B45">
      <w:pPr>
        <w:spacing w:line="360" w:lineRule="auto"/>
        <w:jc w:val="both"/>
        <w:rPr>
          <w:rFonts w:ascii="Arial" w:hAnsi="Arial" w:cs="Arial"/>
        </w:rPr>
      </w:pPr>
      <w:r>
        <w:rPr>
          <w:rFonts w:ascii="Arial" w:hAnsi="Arial" w:cs="Arial"/>
        </w:rPr>
        <w:tab/>
      </w:r>
      <w:r w:rsidR="00BA1419">
        <w:rPr>
          <w:rFonts w:ascii="Arial" w:hAnsi="Arial" w:cs="Arial"/>
        </w:rPr>
        <w:t>En psicoanálisis, la técnica del estudio de caso ha sido ampliamente utilizada, desde la invención del dispositivo</w:t>
      </w:r>
      <w:r w:rsidR="006F460B">
        <w:rPr>
          <w:rFonts w:ascii="Arial" w:hAnsi="Arial" w:cs="Arial"/>
        </w:rPr>
        <w:t xml:space="preserve">. </w:t>
      </w:r>
      <w:r>
        <w:rPr>
          <w:rFonts w:ascii="Arial" w:hAnsi="Arial" w:cs="Arial"/>
        </w:rPr>
        <w:t xml:space="preserve">La investigación de caso </w:t>
      </w:r>
      <w:r w:rsidR="00250139">
        <w:rPr>
          <w:rFonts w:ascii="Arial" w:hAnsi="Arial" w:cs="Arial"/>
        </w:rPr>
        <w:t>tiene su alojo</w:t>
      </w:r>
      <w:r>
        <w:rPr>
          <w:rFonts w:ascii="Arial" w:hAnsi="Arial" w:cs="Arial"/>
        </w:rPr>
        <w:t xml:space="preserve"> la tradición médica</w:t>
      </w:r>
      <w:r w:rsidR="00772C24">
        <w:rPr>
          <w:rFonts w:ascii="Arial" w:hAnsi="Arial" w:cs="Arial"/>
        </w:rPr>
        <w:t xml:space="preserve">, donde se estudia a un sujeto anónimo que representa una enfermedad </w:t>
      </w:r>
      <w:sdt>
        <w:sdtPr>
          <w:rPr>
            <w:rFonts w:ascii="Arial" w:hAnsi="Arial" w:cs="Arial"/>
          </w:rPr>
          <w:id w:val="-1925261568"/>
          <w:citation/>
        </w:sdtPr>
        <w:sdtEndPr/>
        <w:sdtContent>
          <w:r w:rsidR="00FD0B5B">
            <w:rPr>
              <w:rFonts w:ascii="Arial" w:hAnsi="Arial" w:cs="Arial"/>
            </w:rPr>
            <w:fldChar w:fldCharType="begin"/>
          </w:r>
          <w:r w:rsidR="00FD0B5B">
            <w:rPr>
              <w:rFonts w:ascii="Arial" w:hAnsi="Arial" w:cs="Arial"/>
              <w:lang w:val="es-MX"/>
            </w:rPr>
            <w:instrText xml:space="preserve"> CITATION Nas01 \l 2058 </w:instrText>
          </w:r>
          <w:r w:rsidR="00FD0B5B">
            <w:rPr>
              <w:rFonts w:ascii="Arial" w:hAnsi="Arial" w:cs="Arial"/>
            </w:rPr>
            <w:fldChar w:fldCharType="separate"/>
          </w:r>
          <w:r w:rsidR="0034709A" w:rsidRPr="0034709A">
            <w:rPr>
              <w:rFonts w:ascii="Arial" w:hAnsi="Arial" w:cs="Arial"/>
              <w:noProof/>
              <w:lang w:val="es-MX"/>
            </w:rPr>
            <w:t>(Nasio, 2001)</w:t>
          </w:r>
          <w:r w:rsidR="00FD0B5B">
            <w:rPr>
              <w:rFonts w:ascii="Arial" w:hAnsi="Arial" w:cs="Arial"/>
            </w:rPr>
            <w:fldChar w:fldCharType="end"/>
          </w:r>
        </w:sdtContent>
      </w:sdt>
      <w:r w:rsidR="00E011EE">
        <w:rPr>
          <w:rFonts w:ascii="Arial" w:hAnsi="Arial" w:cs="Arial"/>
        </w:rPr>
        <w:t xml:space="preserve">. </w:t>
      </w:r>
      <w:r w:rsidR="0003409D">
        <w:rPr>
          <w:rFonts w:ascii="Arial" w:hAnsi="Arial" w:cs="Arial"/>
        </w:rPr>
        <w:t xml:space="preserve">No obstante, </w:t>
      </w:r>
      <w:r w:rsidR="00E011EE">
        <w:rPr>
          <w:rFonts w:ascii="Arial" w:hAnsi="Arial" w:cs="Arial"/>
        </w:rPr>
        <w:t>en psicoanálisis, la conceptualización de caso difiere</w:t>
      </w:r>
      <w:r w:rsidR="0076018E">
        <w:rPr>
          <w:rFonts w:ascii="Arial" w:hAnsi="Arial" w:cs="Arial"/>
        </w:rPr>
        <w:t xml:space="preserve"> de la </w:t>
      </w:r>
      <w:r w:rsidR="00E011EE">
        <w:rPr>
          <w:rFonts w:ascii="Arial" w:hAnsi="Arial" w:cs="Arial"/>
        </w:rPr>
        <w:t xml:space="preserve">perspectiva </w:t>
      </w:r>
      <w:r w:rsidR="0076018E">
        <w:rPr>
          <w:rFonts w:ascii="Arial" w:hAnsi="Arial" w:cs="Arial"/>
        </w:rPr>
        <w:t>tradi</w:t>
      </w:r>
      <w:r w:rsidR="000D4BA1">
        <w:rPr>
          <w:rFonts w:ascii="Arial" w:hAnsi="Arial" w:cs="Arial"/>
        </w:rPr>
        <w:t xml:space="preserve">cional, </w:t>
      </w:r>
      <w:r w:rsidR="00E011EE">
        <w:rPr>
          <w:rFonts w:ascii="Arial" w:hAnsi="Arial" w:cs="Arial"/>
        </w:rPr>
        <w:t>pues</w:t>
      </w:r>
      <w:r w:rsidR="000D4BA1">
        <w:rPr>
          <w:rFonts w:ascii="Arial" w:hAnsi="Arial" w:cs="Arial"/>
        </w:rPr>
        <w:t xml:space="preserve"> expresa la singularidad </w:t>
      </w:r>
      <w:r w:rsidR="00BC629D">
        <w:rPr>
          <w:rFonts w:ascii="Arial" w:hAnsi="Arial" w:cs="Arial"/>
        </w:rPr>
        <w:t>de quien sufre y la palabra que dirige al analista</w:t>
      </w:r>
      <w:r w:rsidR="00C04180">
        <w:rPr>
          <w:rFonts w:ascii="Arial" w:hAnsi="Arial" w:cs="Arial"/>
        </w:rPr>
        <w:t>, es decir, incorpora al sujeto y su historia</w:t>
      </w:r>
      <w:r w:rsidR="00BC629D">
        <w:rPr>
          <w:rFonts w:ascii="Arial" w:hAnsi="Arial" w:cs="Arial"/>
        </w:rPr>
        <w:t xml:space="preserve"> </w:t>
      </w:r>
      <w:sdt>
        <w:sdtPr>
          <w:rPr>
            <w:rFonts w:ascii="Arial" w:hAnsi="Arial" w:cs="Arial"/>
          </w:rPr>
          <w:id w:val="1739593247"/>
          <w:citation/>
        </w:sdtPr>
        <w:sdtEndPr/>
        <w:sdtContent>
          <w:r w:rsidR="00BC629D">
            <w:rPr>
              <w:rFonts w:ascii="Arial" w:hAnsi="Arial" w:cs="Arial"/>
            </w:rPr>
            <w:fldChar w:fldCharType="begin"/>
          </w:r>
          <w:r w:rsidR="00BC629D">
            <w:rPr>
              <w:rFonts w:ascii="Arial" w:hAnsi="Arial" w:cs="Arial"/>
              <w:lang w:val="es-MX"/>
            </w:rPr>
            <w:instrText xml:space="preserve"> CITATION Nas01 \l 2058 </w:instrText>
          </w:r>
          <w:r w:rsidR="00BC629D">
            <w:rPr>
              <w:rFonts w:ascii="Arial" w:hAnsi="Arial" w:cs="Arial"/>
            </w:rPr>
            <w:fldChar w:fldCharType="separate"/>
          </w:r>
          <w:r w:rsidR="0034709A" w:rsidRPr="0034709A">
            <w:rPr>
              <w:rFonts w:ascii="Arial" w:hAnsi="Arial" w:cs="Arial"/>
              <w:noProof/>
              <w:lang w:val="es-MX"/>
            </w:rPr>
            <w:t>(Nasio, 2001)</w:t>
          </w:r>
          <w:r w:rsidR="00BC629D">
            <w:rPr>
              <w:rFonts w:ascii="Arial" w:hAnsi="Arial" w:cs="Arial"/>
            </w:rPr>
            <w:fldChar w:fldCharType="end"/>
          </w:r>
        </w:sdtContent>
      </w:sdt>
      <w:r w:rsidR="00BC629D">
        <w:rPr>
          <w:rFonts w:ascii="Arial" w:hAnsi="Arial" w:cs="Arial"/>
        </w:rPr>
        <w:t>.</w:t>
      </w:r>
      <w:r w:rsidR="00EA76FE">
        <w:rPr>
          <w:rFonts w:ascii="Arial" w:hAnsi="Arial" w:cs="Arial"/>
        </w:rPr>
        <w:t xml:space="preserve"> </w:t>
      </w:r>
      <w:r w:rsidR="00245B45">
        <w:rPr>
          <w:rFonts w:ascii="Arial" w:hAnsi="Arial" w:cs="Arial"/>
        </w:rPr>
        <w:t>De este modo, el caso toma la forma de un relato y una ficción, que testimonia una experiencia singular, la del encuentro entre terapeuta y paciente</w:t>
      </w:r>
      <w:r w:rsidR="00B45F70">
        <w:rPr>
          <w:rFonts w:ascii="Arial" w:hAnsi="Arial" w:cs="Arial"/>
        </w:rPr>
        <w:t xml:space="preserve"> </w:t>
      </w:r>
      <w:sdt>
        <w:sdtPr>
          <w:rPr>
            <w:rFonts w:ascii="Arial" w:hAnsi="Arial" w:cs="Arial"/>
          </w:rPr>
          <w:id w:val="367259819"/>
          <w:citation/>
        </w:sdtPr>
        <w:sdtEndPr/>
        <w:sdtContent>
          <w:r w:rsidR="009C0EDB">
            <w:rPr>
              <w:rFonts w:ascii="Arial" w:hAnsi="Arial" w:cs="Arial"/>
            </w:rPr>
            <w:fldChar w:fldCharType="begin"/>
          </w:r>
          <w:r w:rsidR="009C0EDB">
            <w:rPr>
              <w:rFonts w:ascii="Arial" w:hAnsi="Arial" w:cs="Arial"/>
              <w:lang w:val="es-MX"/>
            </w:rPr>
            <w:instrText xml:space="preserve"> CITATION Nas01 \l 2058 </w:instrText>
          </w:r>
          <w:r w:rsidR="009C0EDB">
            <w:rPr>
              <w:rFonts w:ascii="Arial" w:hAnsi="Arial" w:cs="Arial"/>
            </w:rPr>
            <w:fldChar w:fldCharType="separate"/>
          </w:r>
          <w:r w:rsidR="0034709A" w:rsidRPr="0034709A">
            <w:rPr>
              <w:rFonts w:ascii="Arial" w:hAnsi="Arial" w:cs="Arial"/>
              <w:noProof/>
              <w:lang w:val="es-MX"/>
            </w:rPr>
            <w:t>(Nasio, 2001)</w:t>
          </w:r>
          <w:r w:rsidR="009C0EDB">
            <w:rPr>
              <w:rFonts w:ascii="Arial" w:hAnsi="Arial" w:cs="Arial"/>
            </w:rPr>
            <w:fldChar w:fldCharType="end"/>
          </w:r>
        </w:sdtContent>
      </w:sdt>
      <w:r w:rsidR="00245B45">
        <w:rPr>
          <w:rFonts w:ascii="Arial" w:hAnsi="Arial" w:cs="Arial"/>
        </w:rPr>
        <w:t xml:space="preserve">. </w:t>
      </w:r>
    </w:p>
    <w:p w14:paraId="6F329E2C" w14:textId="4CEF48EB" w:rsidR="00EA0A93" w:rsidRDefault="00C04180" w:rsidP="00EA0A93">
      <w:pPr>
        <w:spacing w:line="360" w:lineRule="auto"/>
        <w:jc w:val="both"/>
        <w:rPr>
          <w:rFonts w:ascii="Arial" w:hAnsi="Arial" w:cs="Arial"/>
        </w:rPr>
      </w:pPr>
      <w:r>
        <w:rPr>
          <w:rFonts w:ascii="Arial" w:hAnsi="Arial" w:cs="Arial"/>
        </w:rPr>
        <w:tab/>
        <w:t>En la presente investigación se realizó un estudio de caso</w:t>
      </w:r>
      <w:r w:rsidR="00EA0A93">
        <w:rPr>
          <w:rFonts w:ascii="Arial" w:hAnsi="Arial" w:cs="Arial"/>
        </w:rPr>
        <w:tab/>
      </w:r>
      <w:r w:rsidR="00C028CA">
        <w:rPr>
          <w:rFonts w:ascii="Arial" w:hAnsi="Arial" w:cs="Arial"/>
        </w:rPr>
        <w:t xml:space="preserve"> </w:t>
      </w:r>
      <w:r w:rsidR="00615E41">
        <w:rPr>
          <w:rFonts w:ascii="Arial" w:hAnsi="Arial" w:cs="Arial"/>
        </w:rPr>
        <w:t xml:space="preserve">que </w:t>
      </w:r>
      <w:proofErr w:type="gramStart"/>
      <w:r w:rsidR="00615E41">
        <w:rPr>
          <w:rFonts w:ascii="Arial" w:hAnsi="Arial" w:cs="Arial"/>
        </w:rPr>
        <w:t>se enmarca dentro del</w:t>
      </w:r>
      <w:proofErr w:type="gramEnd"/>
      <w:r w:rsidR="00615E41">
        <w:rPr>
          <w:rFonts w:ascii="Arial" w:hAnsi="Arial" w:cs="Arial"/>
        </w:rPr>
        <w:t xml:space="preserve"> foco en la singularidad.</w:t>
      </w:r>
      <w:r w:rsidR="00EA0A93">
        <w:rPr>
          <w:rFonts w:ascii="Arial" w:hAnsi="Arial" w:cs="Arial"/>
        </w:rPr>
        <w:t xml:space="preserve"> Este tuvo lugar en un proceso terapéutico de orientación psicoanalítica, desarrollado en el Centro de Salud Mental Casa del Cerro, con una mujer adulta que pasó por un proceso de adopción en la primera infancia. </w:t>
      </w:r>
    </w:p>
    <w:p w14:paraId="219EA92C" w14:textId="47ACF410" w:rsidR="00EA0A93" w:rsidRDefault="00EA0A93" w:rsidP="00245B45">
      <w:pPr>
        <w:spacing w:line="360" w:lineRule="auto"/>
        <w:jc w:val="both"/>
        <w:rPr>
          <w:rFonts w:ascii="Arial" w:hAnsi="Arial" w:cs="Arial"/>
        </w:rPr>
      </w:pPr>
      <w:r>
        <w:rPr>
          <w:rFonts w:ascii="Arial" w:hAnsi="Arial" w:cs="Arial"/>
        </w:rPr>
        <w:tab/>
        <w:t xml:space="preserve">El proceso contó con una frecuencia semanal de sesiones clínicas </w:t>
      </w:r>
      <w:r w:rsidR="000E43AF">
        <w:rPr>
          <w:rFonts w:ascii="Arial" w:hAnsi="Arial" w:cs="Arial"/>
        </w:rPr>
        <w:t>de orientación psicoanalítica, con un alto porcentaje de asistencia</w:t>
      </w:r>
      <w:r>
        <w:rPr>
          <w:rFonts w:ascii="Arial" w:hAnsi="Arial" w:cs="Arial"/>
        </w:rPr>
        <w:t xml:space="preserve">, </w:t>
      </w:r>
      <w:r w:rsidR="000E43AF">
        <w:rPr>
          <w:rFonts w:ascii="Arial" w:hAnsi="Arial" w:cs="Arial"/>
        </w:rPr>
        <w:t>cada instancia</w:t>
      </w:r>
      <w:r w:rsidR="00DD14FA">
        <w:rPr>
          <w:rFonts w:ascii="Arial" w:hAnsi="Arial" w:cs="Arial"/>
        </w:rPr>
        <w:t xml:space="preserve"> tuvo una</w:t>
      </w:r>
      <w:r>
        <w:rPr>
          <w:rFonts w:ascii="Arial" w:hAnsi="Arial" w:cs="Arial"/>
        </w:rPr>
        <w:t xml:space="preserve"> duración de aproximadamente 50 minutos</w:t>
      </w:r>
      <w:r w:rsidR="0001655F">
        <w:rPr>
          <w:rFonts w:ascii="Arial" w:hAnsi="Arial" w:cs="Arial"/>
        </w:rPr>
        <w:t xml:space="preserve">. </w:t>
      </w:r>
    </w:p>
    <w:p w14:paraId="555F24DE" w14:textId="667C2744" w:rsidR="00E75B4B" w:rsidRDefault="00EA0A93" w:rsidP="00300895">
      <w:pPr>
        <w:spacing w:line="360" w:lineRule="auto"/>
        <w:jc w:val="both"/>
        <w:rPr>
          <w:rFonts w:ascii="Arial" w:hAnsi="Arial" w:cs="Arial"/>
          <w:b/>
          <w:bCs/>
        </w:rPr>
      </w:pPr>
      <w:r>
        <w:rPr>
          <w:rFonts w:ascii="Arial" w:hAnsi="Arial" w:cs="Arial"/>
          <w:b/>
          <w:bCs/>
        </w:rPr>
        <w:t xml:space="preserve">Selección y análisis </w:t>
      </w:r>
      <w:r w:rsidR="00464705">
        <w:rPr>
          <w:rFonts w:ascii="Arial" w:hAnsi="Arial" w:cs="Arial"/>
          <w:b/>
          <w:bCs/>
        </w:rPr>
        <w:t>de los datos</w:t>
      </w:r>
    </w:p>
    <w:p w14:paraId="103C395A" w14:textId="47DB174D" w:rsidR="0001655F" w:rsidRDefault="0001655F" w:rsidP="00EA0A93">
      <w:pPr>
        <w:spacing w:line="360" w:lineRule="auto"/>
        <w:jc w:val="both"/>
        <w:rPr>
          <w:rFonts w:ascii="Arial" w:hAnsi="Arial" w:cs="Arial"/>
        </w:rPr>
      </w:pPr>
      <w:r>
        <w:rPr>
          <w:rFonts w:ascii="Arial" w:hAnsi="Arial" w:cs="Arial"/>
        </w:rPr>
        <w:lastRenderedPageBreak/>
        <w:tab/>
      </w:r>
      <w:r w:rsidR="005320E4">
        <w:rPr>
          <w:rFonts w:ascii="Arial" w:hAnsi="Arial" w:cs="Arial"/>
        </w:rPr>
        <w:t xml:space="preserve">En </w:t>
      </w:r>
      <w:r w:rsidR="00636EA3">
        <w:rPr>
          <w:rFonts w:ascii="Arial" w:hAnsi="Arial" w:cs="Arial"/>
        </w:rPr>
        <w:t xml:space="preserve">este contexto, se produjo un material clínico </w:t>
      </w:r>
      <w:r w:rsidR="0011698D">
        <w:rPr>
          <w:rFonts w:ascii="Arial" w:hAnsi="Arial" w:cs="Arial"/>
        </w:rPr>
        <w:t>que constituye la fuente de datos a analizar. Específicamente, se utiliz</w:t>
      </w:r>
      <w:r w:rsidR="00D156E2">
        <w:rPr>
          <w:rFonts w:ascii="Arial" w:hAnsi="Arial" w:cs="Arial"/>
        </w:rPr>
        <w:t>ó el registro escrito</w:t>
      </w:r>
      <w:r w:rsidR="004634FC">
        <w:rPr>
          <w:rFonts w:ascii="Arial" w:hAnsi="Arial" w:cs="Arial"/>
        </w:rPr>
        <w:t xml:space="preserve"> </w:t>
      </w:r>
      <w:r w:rsidR="007B1DFE">
        <w:rPr>
          <w:rFonts w:ascii="Arial" w:hAnsi="Arial" w:cs="Arial"/>
        </w:rPr>
        <w:t xml:space="preserve">en forma de notas </w:t>
      </w:r>
      <w:r w:rsidR="00FB4C35">
        <w:rPr>
          <w:rFonts w:ascii="Arial" w:hAnsi="Arial" w:cs="Arial"/>
        </w:rPr>
        <w:t>de</w:t>
      </w:r>
      <w:r w:rsidR="00875CBA">
        <w:rPr>
          <w:rFonts w:ascii="Arial" w:hAnsi="Arial" w:cs="Arial"/>
        </w:rPr>
        <w:t xml:space="preserve"> </w:t>
      </w:r>
      <w:r w:rsidR="00FB4C35">
        <w:rPr>
          <w:rFonts w:ascii="Arial" w:hAnsi="Arial" w:cs="Arial"/>
        </w:rPr>
        <w:t>sesiones</w:t>
      </w:r>
      <w:r w:rsidR="007B1DFE">
        <w:rPr>
          <w:rFonts w:ascii="Arial" w:hAnsi="Arial" w:cs="Arial"/>
        </w:rPr>
        <w:t xml:space="preserve">, que </w:t>
      </w:r>
      <w:r w:rsidR="00BC39AE">
        <w:rPr>
          <w:rFonts w:ascii="Arial" w:hAnsi="Arial" w:cs="Arial"/>
        </w:rPr>
        <w:t xml:space="preserve">comprenden la totalidad de un año de atención psicológica. </w:t>
      </w:r>
    </w:p>
    <w:p w14:paraId="1640D280" w14:textId="6E54BB5E" w:rsidR="00360282" w:rsidRDefault="00360282" w:rsidP="00300895">
      <w:pPr>
        <w:spacing w:line="360" w:lineRule="auto"/>
        <w:jc w:val="both"/>
        <w:rPr>
          <w:rFonts w:ascii="Arial" w:hAnsi="Arial" w:cs="Arial"/>
        </w:rPr>
      </w:pPr>
      <w:r>
        <w:rPr>
          <w:rFonts w:ascii="Arial" w:hAnsi="Arial" w:cs="Arial"/>
        </w:rPr>
        <w:tab/>
        <w:t xml:space="preserve">La </w:t>
      </w:r>
      <w:r w:rsidR="003E690F">
        <w:rPr>
          <w:rFonts w:ascii="Arial" w:hAnsi="Arial" w:cs="Arial"/>
        </w:rPr>
        <w:t>técnica</w:t>
      </w:r>
      <w:r>
        <w:rPr>
          <w:rFonts w:ascii="Arial" w:hAnsi="Arial" w:cs="Arial"/>
        </w:rPr>
        <w:t xml:space="preserve"> utilizada </w:t>
      </w:r>
      <w:r w:rsidR="0074416F">
        <w:rPr>
          <w:rFonts w:ascii="Arial" w:hAnsi="Arial" w:cs="Arial"/>
        </w:rPr>
        <w:t xml:space="preserve">para </w:t>
      </w:r>
      <w:r w:rsidR="00DF64F4">
        <w:rPr>
          <w:rFonts w:ascii="Arial" w:hAnsi="Arial" w:cs="Arial"/>
        </w:rPr>
        <w:t>el estudio</w:t>
      </w:r>
      <w:r w:rsidR="0074416F">
        <w:rPr>
          <w:rFonts w:ascii="Arial" w:hAnsi="Arial" w:cs="Arial"/>
        </w:rPr>
        <w:t xml:space="preserve"> de este material </w:t>
      </w:r>
      <w:r w:rsidR="00DF64F4">
        <w:rPr>
          <w:rFonts w:ascii="Arial" w:hAnsi="Arial" w:cs="Arial"/>
        </w:rPr>
        <w:t xml:space="preserve">fue el análisis de contenido. </w:t>
      </w:r>
      <w:r w:rsidR="00562015">
        <w:rPr>
          <w:rFonts w:ascii="Arial" w:hAnsi="Arial" w:cs="Arial"/>
        </w:rPr>
        <w:t>Est</w:t>
      </w:r>
      <w:r w:rsidR="00DB425F">
        <w:rPr>
          <w:rFonts w:ascii="Arial" w:hAnsi="Arial" w:cs="Arial"/>
        </w:rPr>
        <w:t>a es una técnica de interpretación</w:t>
      </w:r>
      <w:r w:rsidR="00562015">
        <w:rPr>
          <w:rFonts w:ascii="Arial" w:hAnsi="Arial" w:cs="Arial"/>
        </w:rPr>
        <w:t xml:space="preserve"> centra</w:t>
      </w:r>
      <w:r w:rsidR="00C2031C">
        <w:rPr>
          <w:rFonts w:ascii="Arial" w:hAnsi="Arial" w:cs="Arial"/>
        </w:rPr>
        <w:t>da</w:t>
      </w:r>
      <w:r w:rsidR="00562015">
        <w:rPr>
          <w:rFonts w:ascii="Arial" w:hAnsi="Arial" w:cs="Arial"/>
        </w:rPr>
        <w:t xml:space="preserve"> en aquello que configura el contenido de la comunicación, ya sea escrita, oral o visual permitiendo así investigar en torno al discurso humano </w:t>
      </w:r>
      <w:sdt>
        <w:sdtPr>
          <w:rPr>
            <w:rFonts w:ascii="Arial" w:hAnsi="Arial" w:cs="Arial"/>
          </w:rPr>
          <w:id w:val="699053914"/>
          <w:citation/>
        </w:sdtPr>
        <w:sdtEndPr/>
        <w:sdtContent>
          <w:r w:rsidR="00DE5511">
            <w:rPr>
              <w:rFonts w:ascii="Arial" w:hAnsi="Arial" w:cs="Arial"/>
            </w:rPr>
            <w:fldChar w:fldCharType="begin"/>
          </w:r>
          <w:r w:rsidR="00873752">
            <w:rPr>
              <w:rFonts w:ascii="Arial" w:hAnsi="Arial" w:cs="Arial"/>
              <w:lang w:val="es-MX"/>
            </w:rPr>
            <w:instrText xml:space="preserve">CITATION Pérez94 \l 2058 </w:instrText>
          </w:r>
          <w:r w:rsidR="00DE5511">
            <w:rPr>
              <w:rFonts w:ascii="Arial" w:hAnsi="Arial" w:cs="Arial"/>
            </w:rPr>
            <w:fldChar w:fldCharType="separate"/>
          </w:r>
          <w:r w:rsidR="0034709A" w:rsidRPr="0034709A">
            <w:rPr>
              <w:rFonts w:ascii="Arial" w:hAnsi="Arial" w:cs="Arial"/>
              <w:noProof/>
              <w:lang w:val="es-MX"/>
            </w:rPr>
            <w:t>(Pérez, 1994)</w:t>
          </w:r>
          <w:r w:rsidR="00DE5511">
            <w:rPr>
              <w:rFonts w:ascii="Arial" w:hAnsi="Arial" w:cs="Arial"/>
            </w:rPr>
            <w:fldChar w:fldCharType="end"/>
          </w:r>
        </w:sdtContent>
      </w:sdt>
      <w:r w:rsidR="00C336FE">
        <w:rPr>
          <w:rFonts w:ascii="Arial" w:hAnsi="Arial" w:cs="Arial"/>
        </w:rPr>
        <w:t xml:space="preserve">. </w:t>
      </w:r>
      <w:r w:rsidR="00F93197">
        <w:rPr>
          <w:rFonts w:ascii="Arial" w:hAnsi="Arial" w:cs="Arial"/>
        </w:rPr>
        <w:t xml:space="preserve">Este instrumento </w:t>
      </w:r>
      <w:r w:rsidR="00DB5FDA">
        <w:rPr>
          <w:rFonts w:ascii="Arial" w:hAnsi="Arial" w:cs="Arial"/>
        </w:rPr>
        <w:t>incorpora la interpretación, tanto del contenido manifiesto</w:t>
      </w:r>
      <w:r w:rsidR="0016699D">
        <w:rPr>
          <w:rFonts w:ascii="Arial" w:hAnsi="Arial" w:cs="Arial"/>
        </w:rPr>
        <w:t xml:space="preserve"> como el contenido laten</w:t>
      </w:r>
      <w:r w:rsidR="00CB4B7B">
        <w:rPr>
          <w:rFonts w:ascii="Arial" w:hAnsi="Arial" w:cs="Arial"/>
        </w:rPr>
        <w:t>te</w:t>
      </w:r>
      <w:r w:rsidR="00DB5FDA">
        <w:rPr>
          <w:rFonts w:ascii="Arial" w:hAnsi="Arial" w:cs="Arial"/>
        </w:rPr>
        <w:t xml:space="preserve"> </w:t>
      </w:r>
      <w:r w:rsidR="00140752">
        <w:rPr>
          <w:rFonts w:ascii="Arial" w:hAnsi="Arial" w:cs="Arial"/>
        </w:rPr>
        <w:t xml:space="preserve">de los datos que se analizan </w:t>
      </w:r>
      <w:sdt>
        <w:sdtPr>
          <w:rPr>
            <w:rFonts w:ascii="Arial" w:hAnsi="Arial" w:cs="Arial"/>
          </w:rPr>
          <w:id w:val="-847169717"/>
          <w:citation/>
        </w:sdtPr>
        <w:sdtEndPr/>
        <w:sdtContent>
          <w:r w:rsidR="0034709A">
            <w:rPr>
              <w:rFonts w:ascii="Arial" w:hAnsi="Arial" w:cs="Arial"/>
            </w:rPr>
            <w:fldChar w:fldCharType="begin"/>
          </w:r>
          <w:r w:rsidR="0034709A">
            <w:rPr>
              <w:rFonts w:ascii="Arial" w:hAnsi="Arial" w:cs="Arial"/>
              <w:lang w:val="es-MX"/>
            </w:rPr>
            <w:instrText xml:space="preserve"> CITATION Abe02 \l 2058 </w:instrText>
          </w:r>
          <w:r w:rsidR="0034709A">
            <w:rPr>
              <w:rFonts w:ascii="Arial" w:hAnsi="Arial" w:cs="Arial"/>
            </w:rPr>
            <w:fldChar w:fldCharType="separate"/>
          </w:r>
          <w:r w:rsidR="0034709A" w:rsidRPr="0034709A">
            <w:rPr>
              <w:rFonts w:ascii="Arial" w:hAnsi="Arial" w:cs="Arial"/>
              <w:noProof/>
              <w:lang w:val="es-MX"/>
            </w:rPr>
            <w:t>(Abela, 2002)</w:t>
          </w:r>
          <w:r w:rsidR="0034709A">
            <w:rPr>
              <w:rFonts w:ascii="Arial" w:hAnsi="Arial" w:cs="Arial"/>
            </w:rPr>
            <w:fldChar w:fldCharType="end"/>
          </w:r>
        </w:sdtContent>
      </w:sdt>
      <w:r w:rsidR="00E55019">
        <w:rPr>
          <w:rFonts w:ascii="Arial" w:hAnsi="Arial" w:cs="Arial"/>
        </w:rPr>
        <w:t>. En este sentido, el</w:t>
      </w:r>
      <w:r w:rsidR="00494118">
        <w:rPr>
          <w:rFonts w:ascii="Arial" w:hAnsi="Arial" w:cs="Arial"/>
        </w:rPr>
        <w:t xml:space="preserve"> concepto de contenido no responde al texto mismo</w:t>
      </w:r>
      <w:r w:rsidR="004A3B2E">
        <w:rPr>
          <w:rFonts w:ascii="Arial" w:hAnsi="Arial" w:cs="Arial"/>
        </w:rPr>
        <w:t>, sino que se encuentra fuera de él</w:t>
      </w:r>
      <w:r w:rsidR="00E55019">
        <w:rPr>
          <w:rFonts w:ascii="Arial" w:hAnsi="Arial" w:cs="Arial"/>
        </w:rPr>
        <w:t xml:space="preserve"> </w:t>
      </w:r>
      <w:sdt>
        <w:sdtPr>
          <w:rPr>
            <w:rFonts w:ascii="Arial" w:hAnsi="Arial" w:cs="Arial"/>
          </w:rPr>
          <w:id w:val="937943854"/>
          <w:citation/>
        </w:sdtPr>
        <w:sdtEndPr/>
        <w:sdtContent>
          <w:r w:rsidR="00916CCB">
            <w:rPr>
              <w:rFonts w:ascii="Arial" w:hAnsi="Arial" w:cs="Arial"/>
            </w:rPr>
            <w:fldChar w:fldCharType="begin"/>
          </w:r>
          <w:r w:rsidR="00916CCB">
            <w:rPr>
              <w:rFonts w:ascii="Arial" w:hAnsi="Arial" w:cs="Arial"/>
              <w:lang w:val="es-MX"/>
            </w:rPr>
            <w:instrText xml:space="preserve"> CITATION Nav07 \l 2058 </w:instrText>
          </w:r>
          <w:r w:rsidR="00916CCB">
            <w:rPr>
              <w:rFonts w:ascii="Arial" w:hAnsi="Arial" w:cs="Arial"/>
            </w:rPr>
            <w:fldChar w:fldCharType="separate"/>
          </w:r>
          <w:r w:rsidR="0034709A" w:rsidRPr="0034709A">
            <w:rPr>
              <w:rFonts w:ascii="Arial" w:hAnsi="Arial" w:cs="Arial"/>
              <w:noProof/>
              <w:lang w:val="es-MX"/>
            </w:rPr>
            <w:t>(Navarro &amp; Díaz, 2007)</w:t>
          </w:r>
          <w:r w:rsidR="00916CCB">
            <w:rPr>
              <w:rFonts w:ascii="Arial" w:hAnsi="Arial" w:cs="Arial"/>
            </w:rPr>
            <w:fldChar w:fldCharType="end"/>
          </w:r>
        </w:sdtContent>
      </w:sdt>
      <w:r w:rsidR="00660DEA">
        <w:rPr>
          <w:rFonts w:ascii="Arial" w:hAnsi="Arial" w:cs="Arial"/>
        </w:rPr>
        <w:t xml:space="preserve">. </w:t>
      </w:r>
    </w:p>
    <w:p w14:paraId="1F97ED19" w14:textId="440D2898" w:rsidR="00263657" w:rsidRDefault="00263657" w:rsidP="00300895">
      <w:pPr>
        <w:spacing w:line="360" w:lineRule="auto"/>
        <w:jc w:val="both"/>
        <w:rPr>
          <w:rFonts w:ascii="Arial" w:hAnsi="Arial" w:cs="Arial"/>
        </w:rPr>
      </w:pPr>
    </w:p>
    <w:p w14:paraId="357A40AF" w14:textId="66AD3017" w:rsidR="00592B27" w:rsidRDefault="00263657" w:rsidP="00300895">
      <w:pPr>
        <w:spacing w:line="360" w:lineRule="auto"/>
        <w:jc w:val="both"/>
        <w:rPr>
          <w:rFonts w:ascii="Arial" w:hAnsi="Arial" w:cs="Arial"/>
        </w:rPr>
      </w:pPr>
      <w:r>
        <w:rPr>
          <w:rFonts w:ascii="Arial" w:hAnsi="Arial" w:cs="Arial"/>
          <w:b/>
          <w:bCs/>
        </w:rPr>
        <w:t>Consideraciones éticas</w:t>
      </w:r>
      <w:r w:rsidR="00245B45">
        <w:rPr>
          <w:rFonts w:ascii="Arial" w:hAnsi="Arial" w:cs="Arial"/>
        </w:rPr>
        <w:t xml:space="preserve"> </w:t>
      </w:r>
    </w:p>
    <w:p w14:paraId="4E0E2D0C" w14:textId="1F07F672" w:rsidR="00447FD2" w:rsidRDefault="003D488E" w:rsidP="00300895">
      <w:pPr>
        <w:spacing w:line="360" w:lineRule="auto"/>
        <w:jc w:val="both"/>
        <w:rPr>
          <w:rFonts w:ascii="Arial" w:hAnsi="Arial" w:cs="Arial"/>
        </w:rPr>
      </w:pPr>
      <w:r>
        <w:rPr>
          <w:rFonts w:ascii="Arial" w:hAnsi="Arial" w:cs="Arial"/>
        </w:rPr>
        <w:tab/>
        <w:t>Contemplando este marco metodológico,</w:t>
      </w:r>
      <w:r w:rsidR="00D13F7E">
        <w:rPr>
          <w:rFonts w:ascii="Arial" w:hAnsi="Arial" w:cs="Arial"/>
        </w:rPr>
        <w:t xml:space="preserve"> </w:t>
      </w:r>
      <w:r w:rsidR="00785943">
        <w:rPr>
          <w:rFonts w:ascii="Arial" w:hAnsi="Arial" w:cs="Arial"/>
        </w:rPr>
        <w:t xml:space="preserve">se hacen necesarias algunas consideraciones éticas fundamentales al momento de </w:t>
      </w:r>
      <w:r w:rsidR="00D13F7E">
        <w:rPr>
          <w:rFonts w:ascii="Arial" w:hAnsi="Arial" w:cs="Arial"/>
        </w:rPr>
        <w:t>estudiar la subjetividad.</w:t>
      </w:r>
    </w:p>
    <w:p w14:paraId="48A443B7" w14:textId="087EDBBF" w:rsidR="00003D5D" w:rsidRDefault="00003D5D" w:rsidP="00300895">
      <w:pPr>
        <w:spacing w:line="360" w:lineRule="auto"/>
        <w:jc w:val="both"/>
        <w:rPr>
          <w:rFonts w:ascii="Arial" w:hAnsi="Arial" w:cs="Arial"/>
        </w:rPr>
      </w:pPr>
      <w:r>
        <w:rPr>
          <w:rFonts w:ascii="Arial" w:hAnsi="Arial" w:cs="Arial"/>
        </w:rPr>
        <w:tab/>
        <w:t xml:space="preserve">En primer lugar, </w:t>
      </w:r>
      <w:r w:rsidR="001361B7">
        <w:rPr>
          <w:rFonts w:ascii="Arial" w:hAnsi="Arial" w:cs="Arial"/>
        </w:rPr>
        <w:t>se asume un compromiso de confidencialidad</w:t>
      </w:r>
      <w:r w:rsidR="00785943">
        <w:rPr>
          <w:rFonts w:ascii="Arial" w:hAnsi="Arial" w:cs="Arial"/>
        </w:rPr>
        <w:t xml:space="preserve">. Esto implica </w:t>
      </w:r>
      <w:r w:rsidR="00E85253">
        <w:rPr>
          <w:rFonts w:ascii="Arial" w:hAnsi="Arial" w:cs="Arial"/>
        </w:rPr>
        <w:t xml:space="preserve">anonimizar </w:t>
      </w:r>
      <w:r w:rsidR="00221DA9">
        <w:rPr>
          <w:rFonts w:ascii="Arial" w:hAnsi="Arial" w:cs="Arial"/>
        </w:rPr>
        <w:t xml:space="preserve">la identidad de la paciente, modificando </w:t>
      </w:r>
      <w:r w:rsidR="003A3EAA">
        <w:rPr>
          <w:rFonts w:ascii="Arial" w:hAnsi="Arial" w:cs="Arial"/>
        </w:rPr>
        <w:t xml:space="preserve">sus nombres </w:t>
      </w:r>
      <w:r w:rsidR="004A1BA9">
        <w:rPr>
          <w:rFonts w:ascii="Arial" w:hAnsi="Arial" w:cs="Arial"/>
        </w:rPr>
        <w:t>propios</w:t>
      </w:r>
      <w:r w:rsidR="00936CAB">
        <w:rPr>
          <w:rFonts w:ascii="Arial" w:hAnsi="Arial" w:cs="Arial"/>
        </w:rPr>
        <w:t xml:space="preserve">, </w:t>
      </w:r>
      <w:r w:rsidR="00D13F7E">
        <w:rPr>
          <w:rFonts w:ascii="Arial" w:hAnsi="Arial" w:cs="Arial"/>
        </w:rPr>
        <w:t xml:space="preserve">edad y ocupación, </w:t>
      </w:r>
      <w:r w:rsidR="00936CAB">
        <w:rPr>
          <w:rFonts w:ascii="Arial" w:hAnsi="Arial" w:cs="Arial"/>
        </w:rPr>
        <w:t xml:space="preserve">además de lugares y contextos donde se produce su relato. En esta línea, </w:t>
      </w:r>
      <w:r w:rsidR="003D0918">
        <w:rPr>
          <w:rFonts w:ascii="Arial" w:hAnsi="Arial" w:cs="Arial"/>
        </w:rPr>
        <w:t xml:space="preserve">se priorizó el análisis de </w:t>
      </w:r>
      <w:r w:rsidR="00B25149">
        <w:rPr>
          <w:rFonts w:ascii="Arial" w:hAnsi="Arial" w:cs="Arial"/>
        </w:rPr>
        <w:t xml:space="preserve">contenidos en torno a su realidad subjetiva </w:t>
      </w:r>
      <w:r w:rsidR="003700DD">
        <w:rPr>
          <w:rFonts w:ascii="Arial" w:hAnsi="Arial" w:cs="Arial"/>
        </w:rPr>
        <w:t xml:space="preserve">por sobre los hechos puntuales que involucra su </w:t>
      </w:r>
      <w:r w:rsidR="00D13F7E">
        <w:rPr>
          <w:rFonts w:ascii="Arial" w:hAnsi="Arial" w:cs="Arial"/>
        </w:rPr>
        <w:t>discurso</w:t>
      </w:r>
      <w:r w:rsidR="003700DD">
        <w:rPr>
          <w:rFonts w:ascii="Arial" w:hAnsi="Arial" w:cs="Arial"/>
        </w:rPr>
        <w:t xml:space="preserve">. Todo lo anterior </w:t>
      </w:r>
      <w:r w:rsidR="00EF5D9E">
        <w:rPr>
          <w:rFonts w:ascii="Arial" w:hAnsi="Arial" w:cs="Arial"/>
        </w:rPr>
        <w:t>responde a</w:t>
      </w:r>
      <w:r w:rsidR="008365D0">
        <w:rPr>
          <w:rFonts w:ascii="Arial" w:hAnsi="Arial" w:cs="Arial"/>
        </w:rPr>
        <w:t>l propósito de que la paciente no pueda ser identificada</w:t>
      </w:r>
      <w:r w:rsidR="00D13F7E">
        <w:rPr>
          <w:rFonts w:ascii="Arial" w:hAnsi="Arial" w:cs="Arial"/>
        </w:rPr>
        <w:t xml:space="preserve"> </w:t>
      </w:r>
      <w:r w:rsidR="00124448">
        <w:rPr>
          <w:rFonts w:ascii="Arial" w:hAnsi="Arial" w:cs="Arial"/>
        </w:rPr>
        <w:t>por ningún medio</w:t>
      </w:r>
      <w:r w:rsidR="008365D0">
        <w:rPr>
          <w:rFonts w:ascii="Arial" w:hAnsi="Arial" w:cs="Arial"/>
        </w:rPr>
        <w:t xml:space="preserve">. </w:t>
      </w:r>
    </w:p>
    <w:p w14:paraId="6DFA6821" w14:textId="77777777" w:rsidR="00FF0E83" w:rsidRPr="00794728" w:rsidRDefault="00FF0E83" w:rsidP="00FF0E83">
      <w:pPr>
        <w:spacing w:line="360" w:lineRule="auto"/>
        <w:mirrorIndents/>
        <w:jc w:val="center"/>
        <w:rPr>
          <w:rFonts w:ascii="Arial" w:hAnsi="Arial" w:cs="Arial"/>
          <w:b/>
          <w:bCs/>
        </w:rPr>
      </w:pPr>
      <w:r>
        <w:rPr>
          <w:rFonts w:ascii="Arial" w:hAnsi="Arial" w:cs="Arial"/>
          <w:b/>
          <w:bCs/>
        </w:rPr>
        <w:t>Marco teórico</w:t>
      </w:r>
    </w:p>
    <w:p w14:paraId="3A79A0CA" w14:textId="77777777" w:rsidR="00FF0E83" w:rsidRPr="00794728" w:rsidRDefault="00FF0E83" w:rsidP="00FF0E83">
      <w:pPr>
        <w:spacing w:line="360" w:lineRule="auto"/>
        <w:ind w:firstLine="708"/>
        <w:mirrorIndents/>
        <w:jc w:val="both"/>
        <w:rPr>
          <w:rFonts w:ascii="Arial" w:hAnsi="Arial" w:cs="Arial"/>
        </w:rPr>
      </w:pPr>
      <w:r w:rsidRPr="00794728">
        <w:rPr>
          <w:rFonts w:ascii="Arial" w:hAnsi="Arial" w:cs="Arial"/>
        </w:rPr>
        <w:t>La pregunta por la relación entre hijos y padres y madres ha sido un eje fundamental en la historia de la investigación psicoanalítica, cuestión que viene a consolidarse con</w:t>
      </w:r>
      <w:r>
        <w:rPr>
          <w:rFonts w:ascii="Arial" w:hAnsi="Arial" w:cs="Arial"/>
        </w:rPr>
        <w:t xml:space="preserve"> los trabajos freudianos sobre la </w:t>
      </w:r>
      <w:r w:rsidRPr="00794728">
        <w:rPr>
          <w:rFonts w:ascii="Arial" w:hAnsi="Arial" w:cs="Arial"/>
        </w:rPr>
        <w:t>sexualidad</w:t>
      </w:r>
      <w:r>
        <w:rPr>
          <w:rFonts w:ascii="Arial" w:hAnsi="Arial" w:cs="Arial"/>
        </w:rPr>
        <w:t xml:space="preserve"> </w:t>
      </w:r>
      <w:r>
        <w:rPr>
          <w:rFonts w:ascii="Arial" w:hAnsi="Arial" w:cs="Arial"/>
        </w:rPr>
        <w:fldChar w:fldCharType="begin"/>
      </w:r>
      <w:r>
        <w:rPr>
          <w:rFonts w:ascii="Arial" w:hAnsi="Arial" w:cs="Arial"/>
        </w:rPr>
        <w:instrText xml:space="preserve"> ADDIN ZOTERO_ITEM CSL_CITATION {"citationID":"khqy7pFz","properties":{"custom":"(Freud, 1905/1992c)","formattedCitation":"(Freud, 1905/1992c)","plainCitation":"(Freud, 1905/1992c)","noteIndex":0},"citationItems":[{"id":31,"uris":["http://zotero.org/users/12025499/items/HXKC7G3G"],"itemData":{"id":31,"type":"chapter","container-title":"Obras Completas de Sigmund Freud.","event-place":"Buenos Aires","note":"(Obra original publicada en 1905)","publisher":"Amorrortu","publisher-place":"Buenos Aires","title":"Tres ensayos de teoría sexual","volume":"7","author":[{"family":"Freud","given":"Sigmund"}],"editor":[{"family":"Strachey, James","given":""}],"translator":[{"family":"Etcheverry","given":"José"}],"issued":{"date-parts":[["1992"]]}}}],"schema":"https://github.com/citation-style-language/schema/raw/master/csl-citation.json"} </w:instrText>
      </w:r>
      <w:r>
        <w:rPr>
          <w:rFonts w:ascii="Arial" w:hAnsi="Arial" w:cs="Arial"/>
        </w:rPr>
        <w:fldChar w:fldCharType="separate"/>
      </w:r>
      <w:r w:rsidRPr="004D5C4D">
        <w:rPr>
          <w:rFonts w:ascii="Arial" w:hAnsi="Arial" w:cs="Arial"/>
        </w:rPr>
        <w:t>(Freud, 1905/1992c)</w:t>
      </w:r>
      <w:r>
        <w:rPr>
          <w:rFonts w:ascii="Arial" w:hAnsi="Arial" w:cs="Arial"/>
        </w:rPr>
        <w:fldChar w:fldCharType="end"/>
      </w:r>
      <w:r>
        <w:rPr>
          <w:rFonts w:ascii="Arial" w:hAnsi="Arial" w:cs="Arial"/>
        </w:rPr>
        <w:t xml:space="preserve"> y el </w:t>
      </w:r>
      <w:r w:rsidRPr="00794728">
        <w:rPr>
          <w:rFonts w:ascii="Arial" w:hAnsi="Arial" w:cs="Arial"/>
        </w:rPr>
        <w:t>Complejo de Edipo</w:t>
      </w:r>
      <w:r>
        <w:rPr>
          <w:rFonts w:ascii="Arial" w:hAnsi="Arial" w:cs="Arial"/>
        </w:rPr>
        <w:t xml:space="preserve"> </w:t>
      </w:r>
      <w:r>
        <w:rPr>
          <w:rFonts w:ascii="Arial" w:hAnsi="Arial" w:cs="Arial"/>
        </w:rPr>
        <w:fldChar w:fldCharType="begin"/>
      </w:r>
      <w:r>
        <w:rPr>
          <w:rFonts w:ascii="Arial" w:hAnsi="Arial" w:cs="Arial"/>
        </w:rPr>
        <w:instrText xml:space="preserve"> ADDIN ZOTERO_ITEM CSL_CITATION {"citationID":"84nSjyTj","properties":{"formattedCitation":"(Freud, 1992)","plainCitation":"(Freud, 1992)","dontUpdate":true,"noteIndex":0},"citationItems":[{"id":27,"uris":["http://zotero.org/users/12025499/items/M99DS47L"],"itemData":{"id":27,"type":"chapter","container-title":"Obras Completas de Sigmund Freud.","event-place":"Buenos Aires","note":"(Obra original publicada en 1924)","publisher":"Amorrortu","publisher-place":"Buenos Aires","title":"El sepultamiento del Complejo de Edipo","volume":"19","author":[{"family":"Freud","given":"Sigmund"}],"editor":[{"family":"Strachey, James","given":""}],"translator":[{"family":"Etcheverry","given":"José"}],"issued":{"date-parts":[["1992"]]}}}],"schema":"https://github.com/citation-style-language/schema/raw/master/csl-citation.json"} </w:instrText>
      </w:r>
      <w:r>
        <w:rPr>
          <w:rFonts w:ascii="Arial" w:hAnsi="Arial" w:cs="Arial"/>
        </w:rPr>
        <w:fldChar w:fldCharType="separate"/>
      </w:r>
      <w:r w:rsidRPr="007F3E03">
        <w:rPr>
          <w:rFonts w:ascii="Arial" w:hAnsi="Arial" w:cs="Arial"/>
        </w:rPr>
        <w:t xml:space="preserve">(Freud, </w:t>
      </w:r>
      <w:r>
        <w:rPr>
          <w:rFonts w:ascii="Arial" w:hAnsi="Arial" w:cs="Arial"/>
        </w:rPr>
        <w:t>1924/</w:t>
      </w:r>
      <w:r w:rsidRPr="007F3E03">
        <w:rPr>
          <w:rFonts w:ascii="Arial" w:hAnsi="Arial" w:cs="Arial"/>
        </w:rPr>
        <w:t>1992)</w:t>
      </w:r>
      <w:r>
        <w:rPr>
          <w:rFonts w:ascii="Arial" w:hAnsi="Arial" w:cs="Arial"/>
        </w:rPr>
        <w:fldChar w:fldCharType="end"/>
      </w:r>
      <w:r w:rsidRPr="00794728">
        <w:rPr>
          <w:rFonts w:ascii="Arial" w:hAnsi="Arial" w:cs="Arial"/>
        </w:rPr>
        <w:t xml:space="preserve">. En términos generales, lo que aquí se </w:t>
      </w:r>
      <w:r>
        <w:rPr>
          <w:rFonts w:ascii="Arial" w:hAnsi="Arial" w:cs="Arial"/>
        </w:rPr>
        <w:t>descubre</w:t>
      </w:r>
      <w:r w:rsidRPr="00794728">
        <w:rPr>
          <w:rFonts w:ascii="Arial" w:hAnsi="Arial" w:cs="Arial"/>
        </w:rPr>
        <w:t xml:space="preserve"> es la relevancia que tienen los vínculos tempranos en la estructuración psíquica y el asentamiento de la subjetividad, además del estatus central que toma la sexualidad infantil en ello. </w:t>
      </w:r>
    </w:p>
    <w:p w14:paraId="671A4750" w14:textId="77777777" w:rsidR="00FF0E83" w:rsidRPr="00A14756" w:rsidRDefault="00FF0E83" w:rsidP="00FF0E83">
      <w:pPr>
        <w:spacing w:line="360" w:lineRule="auto"/>
        <w:mirrorIndents/>
        <w:jc w:val="both"/>
        <w:rPr>
          <w:rFonts w:ascii="Arial" w:hAnsi="Arial" w:cs="Arial"/>
          <w:b/>
          <w:bCs/>
        </w:rPr>
      </w:pPr>
      <w:r w:rsidRPr="00A14756">
        <w:rPr>
          <w:rFonts w:ascii="Arial" w:hAnsi="Arial" w:cs="Arial"/>
          <w:b/>
          <w:bCs/>
        </w:rPr>
        <w:t>La</w:t>
      </w:r>
      <w:r>
        <w:rPr>
          <w:rFonts w:ascii="Arial" w:hAnsi="Arial" w:cs="Arial"/>
          <w:b/>
          <w:bCs/>
        </w:rPr>
        <w:t xml:space="preserve"> n</w:t>
      </w:r>
      <w:r w:rsidRPr="00A14756">
        <w:rPr>
          <w:rFonts w:ascii="Arial" w:hAnsi="Arial" w:cs="Arial"/>
          <w:b/>
          <w:bCs/>
        </w:rPr>
        <w:t xml:space="preserve">ovela </w:t>
      </w:r>
      <w:r>
        <w:rPr>
          <w:rFonts w:ascii="Arial" w:hAnsi="Arial" w:cs="Arial"/>
          <w:b/>
          <w:bCs/>
        </w:rPr>
        <w:t>f</w:t>
      </w:r>
      <w:r w:rsidRPr="00A14756">
        <w:rPr>
          <w:rFonts w:ascii="Arial" w:hAnsi="Arial" w:cs="Arial"/>
          <w:b/>
          <w:bCs/>
        </w:rPr>
        <w:t>amiliar</w:t>
      </w:r>
      <w:r>
        <w:rPr>
          <w:rFonts w:ascii="Arial" w:hAnsi="Arial" w:cs="Arial"/>
          <w:b/>
          <w:bCs/>
        </w:rPr>
        <w:t xml:space="preserve"> en Freud</w:t>
      </w:r>
    </w:p>
    <w:p w14:paraId="762EB169" w14:textId="77777777" w:rsidR="00FF0E83" w:rsidRDefault="00FF0E83" w:rsidP="00FF0E83">
      <w:pPr>
        <w:spacing w:line="360" w:lineRule="auto"/>
        <w:ind w:firstLine="708"/>
        <w:mirrorIndents/>
        <w:jc w:val="both"/>
        <w:rPr>
          <w:rFonts w:ascii="Arial" w:hAnsi="Arial" w:cs="Arial"/>
        </w:rPr>
      </w:pPr>
      <w:r w:rsidRPr="00794728">
        <w:rPr>
          <w:rFonts w:ascii="Arial" w:hAnsi="Arial" w:cs="Arial"/>
        </w:rPr>
        <w:t xml:space="preserve">De este modo, se entiende que en la primera infancia se movilizan mociones inconscientes, deseos y fantasías fundantes, donde la referencia a los </w:t>
      </w:r>
      <w:r>
        <w:rPr>
          <w:rFonts w:ascii="Arial" w:hAnsi="Arial" w:cs="Arial"/>
        </w:rPr>
        <w:t>cuidadores</w:t>
      </w:r>
      <w:r w:rsidRPr="00794728">
        <w:rPr>
          <w:rFonts w:ascii="Arial" w:hAnsi="Arial" w:cs="Arial"/>
        </w:rPr>
        <w:t xml:space="preserve"> desde el </w:t>
      </w:r>
      <w:r w:rsidRPr="00794728">
        <w:rPr>
          <w:rFonts w:ascii="Arial" w:hAnsi="Arial" w:cs="Arial"/>
        </w:rPr>
        <w:lastRenderedPageBreak/>
        <w:t>niño</w:t>
      </w:r>
      <w:r>
        <w:rPr>
          <w:rFonts w:ascii="Arial" w:hAnsi="Arial" w:cs="Arial"/>
        </w:rPr>
        <w:t xml:space="preserve"> y la niña</w:t>
      </w:r>
      <w:r w:rsidRPr="00794728">
        <w:rPr>
          <w:rFonts w:ascii="Arial" w:hAnsi="Arial" w:cs="Arial"/>
        </w:rPr>
        <w:t xml:space="preserve"> -y viceversa- juega un papel crucial.</w:t>
      </w:r>
      <w:r>
        <w:rPr>
          <w:rFonts w:ascii="Arial" w:hAnsi="Arial" w:cs="Arial"/>
        </w:rPr>
        <w:t xml:space="preserve"> En el terreno de lo inconsciente y, en particular, en la fantasía, toma lugar una interrogante que para Freud </w:t>
      </w:r>
      <w:r>
        <w:rPr>
          <w:rFonts w:ascii="Arial" w:hAnsi="Arial" w:cs="Arial"/>
        </w:rPr>
        <w:fldChar w:fldCharType="begin"/>
      </w:r>
      <w:r>
        <w:rPr>
          <w:rFonts w:ascii="Arial" w:hAnsi="Arial" w:cs="Arial"/>
        </w:rPr>
        <w:instrText xml:space="preserve"> ADDIN ZOTERO_ITEM CSL_CITATION {"citationID":"WjzUNMA7","properties":{"custom":"(1909/1992b)","formattedCitation":"(1909/1992b)","plainCitation":"(1909/1992b)","noteIndex":0},"citationItems":[{"id":32,"uris":["http://zotero.org/users/12025499/items/VIVSHWTG"],"itemData":{"id":32,"type":"chapter","container-title":"Obras Completas de Sigmund Freud.","event-place":"Buenos Aires","note":"(Obra original publicada en 1909)","publisher":"Amorrortu","publisher-place":"Buenos Aires","title":"La novela familiar de los neuróticos","volume":"9","author":[{"family":"Freud","given":"Sigmund"}],"editor":[{"family":"Strachey, James","given":""}],"translator":[{"family":"Etcheverry","given":"José"}],"issued":{"date-parts":[["1992"]]}}}],"schema":"https://github.com/citation-style-language/schema/raw/master/csl-citation.json"} </w:instrText>
      </w:r>
      <w:r>
        <w:rPr>
          <w:rFonts w:ascii="Arial" w:hAnsi="Arial" w:cs="Arial"/>
        </w:rPr>
        <w:fldChar w:fldCharType="separate"/>
      </w:r>
      <w:r w:rsidRPr="008D2956">
        <w:rPr>
          <w:rFonts w:ascii="Arial" w:hAnsi="Arial" w:cs="Arial"/>
        </w:rPr>
        <w:t>(1909/1992b)</w:t>
      </w:r>
      <w:r>
        <w:rPr>
          <w:rFonts w:ascii="Arial" w:hAnsi="Arial" w:cs="Arial"/>
        </w:rPr>
        <w:fldChar w:fldCharType="end"/>
      </w:r>
      <w:r>
        <w:rPr>
          <w:rFonts w:ascii="Arial" w:hAnsi="Arial" w:cs="Arial"/>
        </w:rPr>
        <w:t xml:space="preserve"> resulta esencial, tanto en la contingencia infantil como en las consecuencias que supone a la vida adulta, esta es la pregunta por el origen y el lugar que ocupan el padre y la madre en la configuración psíquica.  </w:t>
      </w:r>
    </w:p>
    <w:p w14:paraId="7858F1D1" w14:textId="77777777" w:rsidR="00FF0E83" w:rsidRPr="00794728" w:rsidRDefault="00FF0E83" w:rsidP="00FF0E83">
      <w:pPr>
        <w:spacing w:line="360" w:lineRule="auto"/>
        <w:ind w:firstLine="708"/>
        <w:mirrorIndents/>
        <w:jc w:val="both"/>
        <w:rPr>
          <w:rFonts w:ascii="Arial" w:hAnsi="Arial" w:cs="Arial"/>
        </w:rPr>
      </w:pPr>
      <w:r w:rsidRPr="00794728">
        <w:rPr>
          <w:rFonts w:ascii="Arial" w:hAnsi="Arial" w:cs="Arial"/>
        </w:rPr>
        <w:t xml:space="preserve">En el texto </w:t>
      </w:r>
      <w:r w:rsidRPr="00794728">
        <w:rPr>
          <w:rFonts w:ascii="Arial" w:hAnsi="Arial" w:cs="Arial"/>
          <w:i/>
          <w:iCs/>
        </w:rPr>
        <w:t>La novela familiar de los neuróticos</w:t>
      </w:r>
      <w:r w:rsidRPr="00794728">
        <w:rPr>
          <w:rFonts w:ascii="Arial" w:hAnsi="Arial" w:cs="Arial"/>
        </w:rPr>
        <w:t xml:space="preserve">, Freud </w:t>
      </w:r>
      <w:r>
        <w:rPr>
          <w:rFonts w:ascii="Arial" w:hAnsi="Arial" w:cs="Arial"/>
        </w:rPr>
        <w:fldChar w:fldCharType="begin"/>
      </w:r>
      <w:r>
        <w:rPr>
          <w:rFonts w:ascii="Arial" w:hAnsi="Arial" w:cs="Arial"/>
        </w:rPr>
        <w:instrText xml:space="preserve"> ADDIN ZOTERO_ITEM CSL_CITATION {"citationID":"C0BjnOkA","properties":{"custom":"(1909/1992b)","formattedCitation":"(1909/1992b)","plainCitation":"(1909/1992b)","noteIndex":0},"citationItems":[{"id":32,"uris":["http://zotero.org/users/12025499/items/VIVSHWTG"],"itemData":{"id":32,"type":"chapter","container-title":"Obras Completas de Sigmund Freud.","event-place":"Buenos Aires","note":"(Obra original publicada en 1909)","publisher":"Amorrortu","publisher-place":"Buenos Aires","title":"La novela familiar de los neuróticos","volume":"9","author":[{"family":"Freud","given":"Sigmund"}],"editor":[{"family":"Strachey, James","given":""}],"translator":[{"family":"Etcheverry","given":"José"}],"issued":{"date-parts":[["1992"]]}}}],"schema":"https://github.com/citation-style-language/schema/raw/master/csl-citation.json"} </w:instrText>
      </w:r>
      <w:r>
        <w:rPr>
          <w:rFonts w:ascii="Arial" w:hAnsi="Arial" w:cs="Arial"/>
        </w:rPr>
        <w:fldChar w:fldCharType="separate"/>
      </w:r>
      <w:r w:rsidRPr="008D2956">
        <w:rPr>
          <w:rFonts w:ascii="Arial" w:hAnsi="Arial" w:cs="Arial"/>
        </w:rPr>
        <w:t>(1909/1992b)</w:t>
      </w:r>
      <w:r>
        <w:rPr>
          <w:rFonts w:ascii="Arial" w:hAnsi="Arial" w:cs="Arial"/>
        </w:rPr>
        <w:fldChar w:fldCharType="end"/>
      </w:r>
      <w:r>
        <w:rPr>
          <w:rFonts w:ascii="Arial" w:hAnsi="Arial" w:cs="Arial"/>
        </w:rPr>
        <w:t xml:space="preserve"> se aproxima a este contenido</w:t>
      </w:r>
      <w:r w:rsidRPr="00794728">
        <w:rPr>
          <w:rFonts w:ascii="Arial" w:hAnsi="Arial" w:cs="Arial"/>
        </w:rPr>
        <w:t>. Aquí, postula que la Novela Familiar es una fantasía universal neurótica que</w:t>
      </w:r>
      <w:r>
        <w:rPr>
          <w:rFonts w:ascii="Arial" w:hAnsi="Arial" w:cs="Arial"/>
        </w:rPr>
        <w:t xml:space="preserve"> sirve al desprendimiento de la autoridad parental, operación que el autor sitúa como una de las más necesarias y dolorosas del desarrollo.</w:t>
      </w:r>
      <w:r w:rsidRPr="00794728">
        <w:rPr>
          <w:rFonts w:ascii="Arial" w:hAnsi="Arial" w:cs="Arial"/>
        </w:rPr>
        <w:t xml:space="preserve"> </w:t>
      </w:r>
      <w:r>
        <w:rPr>
          <w:rFonts w:ascii="Arial" w:hAnsi="Arial" w:cs="Arial"/>
        </w:rPr>
        <w:t>S</w:t>
      </w:r>
      <w:r w:rsidRPr="00794728">
        <w:rPr>
          <w:rFonts w:ascii="Arial" w:hAnsi="Arial" w:cs="Arial"/>
        </w:rPr>
        <w:t>urge luego de la salida de la enajenación a las figuras parentales idealizadas</w:t>
      </w:r>
      <w:r>
        <w:rPr>
          <w:rFonts w:ascii="Arial" w:hAnsi="Arial" w:cs="Arial"/>
        </w:rPr>
        <w:t xml:space="preserve"> y sobrestimadas</w:t>
      </w:r>
      <w:r w:rsidRPr="00794728">
        <w:rPr>
          <w:rFonts w:ascii="Arial" w:hAnsi="Arial" w:cs="Arial"/>
        </w:rPr>
        <w:t xml:space="preserve">. Esta se origina en la desilusión que experimenta el niño o niña </w:t>
      </w:r>
      <w:r>
        <w:rPr>
          <w:rFonts w:ascii="Arial" w:hAnsi="Arial" w:cs="Arial"/>
        </w:rPr>
        <w:t>al momento en que siente una postergación</w:t>
      </w:r>
      <w:r w:rsidRPr="00794728">
        <w:rPr>
          <w:rFonts w:ascii="Arial" w:hAnsi="Arial" w:cs="Arial"/>
        </w:rPr>
        <w:t xml:space="preserve"> del amor de sus padres, levantando mociones hostiles hacia ellos</w:t>
      </w:r>
      <w:r>
        <w:rPr>
          <w:rFonts w:ascii="Arial" w:hAnsi="Arial" w:cs="Arial"/>
        </w:rPr>
        <w:t>.</w:t>
      </w:r>
    </w:p>
    <w:p w14:paraId="0741D5B1" w14:textId="77777777" w:rsidR="00FF0E83" w:rsidRDefault="00FF0E83" w:rsidP="00FF0E83">
      <w:pPr>
        <w:spacing w:line="360" w:lineRule="auto"/>
        <w:ind w:firstLine="708"/>
        <w:mirrorIndents/>
        <w:jc w:val="both"/>
        <w:rPr>
          <w:rFonts w:ascii="Arial" w:hAnsi="Arial" w:cs="Arial"/>
        </w:rPr>
      </w:pPr>
      <w:r>
        <w:rPr>
          <w:rFonts w:ascii="Arial" w:hAnsi="Arial" w:cs="Arial"/>
        </w:rPr>
        <w:t xml:space="preserve">Según Freud </w:t>
      </w:r>
      <w:r>
        <w:rPr>
          <w:rFonts w:ascii="Arial" w:hAnsi="Arial" w:cs="Arial"/>
        </w:rPr>
        <w:fldChar w:fldCharType="begin"/>
      </w:r>
      <w:r>
        <w:rPr>
          <w:rFonts w:ascii="Arial" w:hAnsi="Arial" w:cs="Arial"/>
        </w:rPr>
        <w:instrText xml:space="preserve"> ADDIN ZOTERO_ITEM CSL_CITATION {"citationID":"C8D3LHVi","properties":{"custom":"(1909/1992b)","formattedCitation":"(1909/1992b)","plainCitation":"(1909/1992b)","noteIndex":0},"citationItems":[{"id":32,"uris":["http://zotero.org/users/12025499/items/VIVSHWTG"],"itemData":{"id":32,"type":"chapter","container-title":"Obras Completas de Sigmund Freud.","event-place":"Buenos Aires","note":"(Obra original publicada en 1909)","publisher":"Amorrortu","publisher-place":"Buenos Aires","title":"La novela familiar de los neuróticos","volume":"9","author":[{"family":"Freud","given":"Sigmund"}],"editor":[{"family":"Strachey, James","given":""}],"translator":[{"family":"Etcheverry","given":"José"}],"issued":{"date-parts":[["1992"]]}},"suppress-author":true}],"schema":"https://github.com/citation-style-language/schema/raw/master/csl-citation.json"} </w:instrText>
      </w:r>
      <w:r>
        <w:rPr>
          <w:rFonts w:ascii="Arial" w:hAnsi="Arial" w:cs="Arial"/>
        </w:rPr>
        <w:fldChar w:fldCharType="separate"/>
      </w:r>
      <w:r w:rsidRPr="004F0AE0">
        <w:rPr>
          <w:rFonts w:ascii="Arial" w:hAnsi="Arial" w:cs="Arial"/>
        </w:rPr>
        <w:t>(1909/1992b)</w:t>
      </w:r>
      <w:r>
        <w:rPr>
          <w:rFonts w:ascii="Arial" w:hAnsi="Arial" w:cs="Arial"/>
        </w:rPr>
        <w:fldChar w:fldCharType="end"/>
      </w:r>
      <w:r>
        <w:rPr>
          <w:rFonts w:ascii="Arial" w:hAnsi="Arial" w:cs="Arial"/>
        </w:rPr>
        <w:t xml:space="preserve"> la novela familiar consta de dos etapas. En la primera -movilizada por la meta de la ambición-, el niño elabora unos padres fantasiosos con una mejor situación económica, que prefiere por sobre los reales. La segunda etapa, llega cuando el niño conoce las condiciones sexuales de su nacimiento, donde luego posiciona a la madre en una situación de infidelidad escondida y establece al padre como mítico, es decir, podría ser cualquiera, respondiendo a una meta erótica. Así, esta actividad fantaseadora propia de la neurosis sirve al cumplimiento de deseos y al tránsito hacia la separación de la figura materna y paterna que se encuentran idealizadas. </w:t>
      </w:r>
    </w:p>
    <w:p w14:paraId="03AF9709" w14:textId="77777777" w:rsidR="00FF0E83" w:rsidRDefault="00FF0E83" w:rsidP="00FF0E83">
      <w:pPr>
        <w:spacing w:line="360" w:lineRule="auto"/>
        <w:ind w:firstLine="708"/>
        <w:mirrorIndents/>
        <w:jc w:val="both"/>
        <w:rPr>
          <w:rFonts w:ascii="Arial" w:hAnsi="Arial" w:cs="Arial"/>
        </w:rPr>
      </w:pPr>
      <w:r w:rsidRPr="00794728">
        <w:rPr>
          <w:rFonts w:ascii="Arial" w:hAnsi="Arial" w:cs="Arial"/>
        </w:rPr>
        <w:t>Es preciso enfatizar que la novela se encuentra en el registro de la fantasía, que finalmente declina ante la realidad e incorpora a los padres no idealizados</w:t>
      </w:r>
      <w:r>
        <w:rPr>
          <w:rFonts w:ascii="Arial" w:hAnsi="Arial" w:cs="Arial"/>
        </w:rPr>
        <w:t xml:space="preserve">. Sin embargo, hay algo de ella que se conserva, por ejemplo, en el sueño. </w:t>
      </w:r>
      <w:r w:rsidRPr="00794728">
        <w:rPr>
          <w:rFonts w:ascii="Arial" w:hAnsi="Arial" w:cs="Arial"/>
        </w:rPr>
        <w:t>El autor concluye que, finalmente, estas fantasías no son más que la expresión del lamento por la desaparición de la primera infancia y su añoranza</w:t>
      </w:r>
      <w:r>
        <w:rPr>
          <w:rFonts w:ascii="Arial" w:hAnsi="Arial" w:cs="Arial"/>
        </w:rPr>
        <w:t xml:space="preserve"> (Freud, 1909/1992b).</w:t>
      </w:r>
    </w:p>
    <w:p w14:paraId="0241DC6F" w14:textId="77777777" w:rsidR="00FF0E83" w:rsidRPr="00FD7C02" w:rsidRDefault="00FF0E83" w:rsidP="00FF0E83">
      <w:pPr>
        <w:spacing w:line="360" w:lineRule="auto"/>
        <w:mirrorIndents/>
        <w:jc w:val="both"/>
        <w:rPr>
          <w:rFonts w:ascii="Arial" w:hAnsi="Arial" w:cs="Arial"/>
          <w:b/>
          <w:bCs/>
        </w:rPr>
      </w:pPr>
      <w:r>
        <w:rPr>
          <w:rFonts w:ascii="Arial" w:hAnsi="Arial" w:cs="Arial"/>
          <w:b/>
          <w:bCs/>
        </w:rPr>
        <w:t>La maternidad y la mujer</w:t>
      </w:r>
    </w:p>
    <w:p w14:paraId="33B24F96" w14:textId="77777777" w:rsidR="00FF0E83" w:rsidRPr="00794728" w:rsidRDefault="00FF0E83" w:rsidP="00FF0E83">
      <w:pPr>
        <w:spacing w:line="360" w:lineRule="auto"/>
        <w:ind w:firstLine="708"/>
        <w:mirrorIndents/>
        <w:jc w:val="both"/>
        <w:rPr>
          <w:rFonts w:ascii="Arial" w:hAnsi="Arial" w:cs="Arial"/>
        </w:rPr>
      </w:pPr>
      <w:r w:rsidRPr="00794728">
        <w:rPr>
          <w:rFonts w:ascii="Arial" w:hAnsi="Arial" w:cs="Arial"/>
        </w:rPr>
        <w:t xml:space="preserve">En psicoanálisis, podríamos decir que existe un consenso generalizado sobre la relevancia en la configuración de la vida psíquica que adopta la relación del niño y niña con </w:t>
      </w:r>
      <w:r>
        <w:rPr>
          <w:rFonts w:ascii="Arial" w:hAnsi="Arial" w:cs="Arial"/>
        </w:rPr>
        <w:t>los</w:t>
      </w:r>
      <w:r w:rsidRPr="00794728">
        <w:rPr>
          <w:rFonts w:ascii="Arial" w:hAnsi="Arial" w:cs="Arial"/>
        </w:rPr>
        <w:t xml:space="preserve"> primeros objetos amorosos: sus padres. Sin embargo, existen corrientes de pensamiento que afirman la existencia de una especificidad en el </w:t>
      </w:r>
      <w:r w:rsidRPr="00794728">
        <w:rPr>
          <w:rFonts w:ascii="Arial" w:hAnsi="Arial" w:cs="Arial"/>
        </w:rPr>
        <w:lastRenderedPageBreak/>
        <w:t xml:space="preserve">vínculo </w:t>
      </w:r>
      <w:r>
        <w:rPr>
          <w:rFonts w:ascii="Arial" w:hAnsi="Arial" w:cs="Arial"/>
        </w:rPr>
        <w:t>infantil</w:t>
      </w:r>
      <w:r w:rsidRPr="00794728">
        <w:rPr>
          <w:rFonts w:ascii="Arial" w:hAnsi="Arial" w:cs="Arial"/>
        </w:rPr>
        <w:t xml:space="preserve"> con el primer amor: la madre, abriendo así un campo de estudio orientado hacia lo materno</w:t>
      </w:r>
      <w:r>
        <w:rPr>
          <w:rFonts w:ascii="Arial" w:hAnsi="Arial" w:cs="Arial"/>
        </w:rPr>
        <w:t>.</w:t>
      </w:r>
      <w:r w:rsidRPr="00794728">
        <w:rPr>
          <w:rFonts w:ascii="Arial" w:hAnsi="Arial" w:cs="Arial"/>
        </w:rPr>
        <w:t xml:space="preserve"> </w:t>
      </w:r>
    </w:p>
    <w:p w14:paraId="5AA40F59" w14:textId="77777777" w:rsidR="00FF0E83" w:rsidRDefault="00FF0E83" w:rsidP="00FF0E83">
      <w:pPr>
        <w:spacing w:line="360" w:lineRule="auto"/>
        <w:ind w:firstLine="708"/>
        <w:mirrorIndents/>
        <w:jc w:val="both"/>
        <w:rPr>
          <w:rFonts w:ascii="Arial" w:hAnsi="Arial" w:cs="Arial"/>
        </w:rPr>
      </w:pPr>
      <w:r w:rsidRPr="00794728">
        <w:rPr>
          <w:rFonts w:ascii="Arial" w:hAnsi="Arial" w:cs="Arial"/>
        </w:rPr>
        <w:t>De acuerdo con Kristeva</w:t>
      </w:r>
      <w:r>
        <w:rPr>
          <w:rFonts w:ascii="Arial" w:hAnsi="Arial" w:cs="Arial"/>
        </w:rPr>
        <w:t xml:space="preserve"> </w:t>
      </w:r>
      <w:r>
        <w:rPr>
          <w:rFonts w:ascii="Arial" w:hAnsi="Arial" w:cs="Arial"/>
        </w:rPr>
        <w:fldChar w:fldCharType="begin"/>
      </w:r>
      <w:r>
        <w:rPr>
          <w:rFonts w:ascii="Arial" w:hAnsi="Arial" w:cs="Arial"/>
        </w:rPr>
        <w:instrText xml:space="preserve"> ADDIN ZOTERO_ITEM CSL_CITATION {"citationID":"96mMfqHu","properties":{"formattedCitation":"(1987)","plainCitation":"(1987)","noteIndex":0},"citationItems":[{"id":47,"uris":["http://zotero.org/users/12025499/items/ESJ325YZ"],"itemData":{"id":47,"type":"book","event-place":"México","publisher":"Siglo XXI","publisher-place":"México","title":"Historias de amor","author":[{"family":"Kristeva","given":"Julia"}],"issued":{"date-parts":[["1987"]]}},"suppress-author":true}],"schema":"https://github.com/citation-style-language/schema/raw/master/csl-citation.json"} </w:instrText>
      </w:r>
      <w:r>
        <w:rPr>
          <w:rFonts w:ascii="Arial" w:hAnsi="Arial" w:cs="Arial"/>
        </w:rPr>
        <w:fldChar w:fldCharType="separate"/>
      </w:r>
      <w:r w:rsidRPr="008D2956">
        <w:rPr>
          <w:rFonts w:ascii="Arial" w:hAnsi="Arial" w:cs="Arial"/>
        </w:rPr>
        <w:t>(1987)</w:t>
      </w:r>
      <w:r>
        <w:rPr>
          <w:rFonts w:ascii="Arial" w:hAnsi="Arial" w:cs="Arial"/>
        </w:rPr>
        <w:fldChar w:fldCharType="end"/>
      </w:r>
      <w:r>
        <w:rPr>
          <w:rFonts w:ascii="Arial" w:hAnsi="Arial" w:cs="Arial"/>
        </w:rPr>
        <w:t xml:space="preserve"> </w:t>
      </w:r>
      <w:r w:rsidRPr="00794728">
        <w:rPr>
          <w:rFonts w:ascii="Arial" w:hAnsi="Arial" w:cs="Arial"/>
        </w:rPr>
        <w:t>no podemos decir qué es una mujer, pero sí hablar de lo materno como función. Lo anterior, responde a la tesis de que, en esta sociedad, lo femenino se subsume a lo materno y está confinado dentro de este campo. En esta lógica</w:t>
      </w:r>
      <w:r>
        <w:rPr>
          <w:rFonts w:ascii="Arial" w:hAnsi="Arial" w:cs="Arial"/>
        </w:rPr>
        <w:t>,</w:t>
      </w:r>
      <w:r w:rsidRPr="00794728">
        <w:rPr>
          <w:rFonts w:ascii="Arial" w:hAnsi="Arial" w:cs="Arial"/>
        </w:rPr>
        <w:t xml:space="preserve"> Irigaray </w:t>
      </w:r>
      <w:r>
        <w:rPr>
          <w:rFonts w:ascii="Arial" w:hAnsi="Arial" w:cs="Arial"/>
        </w:rPr>
        <w:fldChar w:fldCharType="begin"/>
      </w:r>
      <w:r>
        <w:rPr>
          <w:rFonts w:ascii="Arial" w:hAnsi="Arial" w:cs="Arial"/>
        </w:rPr>
        <w:instrText xml:space="preserve"> ADDIN ZOTERO_ITEM CSL_CITATION {"citationID":"pylnTV0U","properties":{"formattedCitation":"(1994)","plainCitation":"(1994)","noteIndex":0},"citationItems":[{"id":40,"uris":["http://zotero.org/users/12025499/items/TFMX99YB"],"itemData":{"id":40,"type":"article-journal","abstract":"El cuerpo a cuerpo con la madre","container-title":"Debate Feminista","DOI":"10.22201/cieg.2594066xe.1994.10.1793","ISSN":"2594-066X, 0188-9478","journalAbbreviation":"df","language":"es","page":"32-44","source":"DOI.org (Crossref)","title":"El cuerpo a cuerpo con la madre","volume":"10","author":[{"family":"Irigaray","given":"Luce"}],"issued":{"date-parts":[["1994",9,1]]}},"label":"page","suppress-author":true}],"schema":"https://github.com/citation-style-language/schema/raw/master/csl-citation.json"} </w:instrText>
      </w:r>
      <w:r>
        <w:rPr>
          <w:rFonts w:ascii="Arial" w:hAnsi="Arial" w:cs="Arial"/>
        </w:rPr>
        <w:fldChar w:fldCharType="separate"/>
      </w:r>
      <w:r w:rsidRPr="00997E81">
        <w:rPr>
          <w:rFonts w:ascii="Arial" w:hAnsi="Arial" w:cs="Arial"/>
        </w:rPr>
        <w:t>(1994)</w:t>
      </w:r>
      <w:r>
        <w:rPr>
          <w:rFonts w:ascii="Arial" w:hAnsi="Arial" w:cs="Arial"/>
        </w:rPr>
        <w:fldChar w:fldCharType="end"/>
      </w:r>
      <w:r w:rsidRPr="00794728">
        <w:rPr>
          <w:rFonts w:ascii="Arial" w:hAnsi="Arial" w:cs="Arial"/>
        </w:rPr>
        <w:t xml:space="preserve"> sostiene que la maternidad se encuentra enlazada con la constitución subjetiva de la mujer. </w:t>
      </w:r>
      <w:r>
        <w:rPr>
          <w:rFonts w:ascii="Arial" w:hAnsi="Arial" w:cs="Arial"/>
        </w:rPr>
        <w:t xml:space="preserve">Se establece entonces </w:t>
      </w:r>
      <w:r w:rsidRPr="00794728">
        <w:rPr>
          <w:rFonts w:ascii="Arial" w:hAnsi="Arial" w:cs="Arial"/>
        </w:rPr>
        <w:t xml:space="preserve">una matriz indisociable entre </w:t>
      </w:r>
      <w:r>
        <w:rPr>
          <w:rFonts w:ascii="Arial" w:hAnsi="Arial" w:cs="Arial"/>
        </w:rPr>
        <w:t xml:space="preserve">madre y mujer. </w:t>
      </w:r>
      <w:r w:rsidRPr="00794728">
        <w:rPr>
          <w:rFonts w:ascii="Arial" w:hAnsi="Arial" w:cs="Arial"/>
        </w:rPr>
        <w:t xml:space="preserve"> </w:t>
      </w:r>
    </w:p>
    <w:p w14:paraId="62EDC2B7" w14:textId="77777777" w:rsidR="00FF0E83" w:rsidRPr="00BB42AE" w:rsidRDefault="00FF0E83" w:rsidP="00FF0E83">
      <w:pPr>
        <w:spacing w:line="360" w:lineRule="auto"/>
        <w:mirrorIndents/>
        <w:jc w:val="both"/>
        <w:rPr>
          <w:rFonts w:ascii="Arial" w:hAnsi="Arial" w:cs="Arial"/>
          <w:b/>
          <w:bCs/>
        </w:rPr>
      </w:pPr>
      <w:r>
        <w:rPr>
          <w:rFonts w:ascii="Arial" w:hAnsi="Arial" w:cs="Arial"/>
          <w:b/>
          <w:bCs/>
        </w:rPr>
        <w:t>Desarrollos en torno a la relación madre-hija</w:t>
      </w:r>
    </w:p>
    <w:p w14:paraId="5653CA36" w14:textId="77777777" w:rsidR="00FF0E83" w:rsidRDefault="00FF0E83" w:rsidP="00FF0E83">
      <w:pPr>
        <w:spacing w:line="360" w:lineRule="auto"/>
        <w:ind w:firstLine="708"/>
        <w:mirrorIndents/>
        <w:jc w:val="both"/>
        <w:rPr>
          <w:rFonts w:ascii="Arial" w:hAnsi="Arial" w:cs="Arial"/>
        </w:rPr>
      </w:pPr>
      <w:r w:rsidRPr="00794728">
        <w:rPr>
          <w:rFonts w:ascii="Arial" w:hAnsi="Arial" w:cs="Arial"/>
        </w:rPr>
        <w:t xml:space="preserve">En 1926, Freud </w:t>
      </w:r>
      <w:r>
        <w:rPr>
          <w:rFonts w:ascii="Arial" w:hAnsi="Arial" w:cs="Arial"/>
        </w:rPr>
        <w:fldChar w:fldCharType="begin"/>
      </w:r>
      <w:r>
        <w:rPr>
          <w:rFonts w:ascii="Arial" w:hAnsi="Arial" w:cs="Arial"/>
        </w:rPr>
        <w:instrText xml:space="preserve"> ADDIN ZOTERO_ITEM CSL_CITATION {"citationID":"wU6Qjrsy","properties":{"formattedCitation":"(1992c)","plainCitation":"(1992c)","noteIndex":0},"citationItems":[{"id":33,"uris":["http://zotero.org/users/12025499/items/LM76ZP6H"],"itemData":{"id":33,"type":"chapter","container-title":"Obras Completas de Sigmund Freud","event-place":"Buenos Aires","note":"(Obra original publicada en 1926)","publisher":"Amorrortu","publisher-place":"Buenos Aires","title":"¿Pueden los legos ejercer el análisis? Diálogos de un juez imparcial","volume":"20","author":[{"family":"Freud","given":"Sigmund"}],"editor":[{"family":"Strachey, James","given":""}],"translator":[{"family":"Etcheverry","given":"José"}],"issued":{"date-parts":[["1992"]]}},"label":"page","suppress-author":true}],"schema":"https://github.com/citation-style-language/schema/raw/master/csl-citation.json"} </w:instrText>
      </w:r>
      <w:r>
        <w:rPr>
          <w:rFonts w:ascii="Arial" w:hAnsi="Arial" w:cs="Arial"/>
        </w:rPr>
        <w:fldChar w:fldCharType="separate"/>
      </w:r>
      <w:r w:rsidRPr="00431E92">
        <w:rPr>
          <w:rFonts w:ascii="Arial" w:hAnsi="Arial" w:cs="Arial"/>
        </w:rPr>
        <w:t>(1992c)</w:t>
      </w:r>
      <w:r>
        <w:rPr>
          <w:rFonts w:ascii="Arial" w:hAnsi="Arial" w:cs="Arial"/>
        </w:rPr>
        <w:fldChar w:fldCharType="end"/>
      </w:r>
      <w:r>
        <w:rPr>
          <w:rFonts w:ascii="Arial" w:hAnsi="Arial" w:cs="Arial"/>
        </w:rPr>
        <w:t xml:space="preserve"> </w:t>
      </w:r>
      <w:r w:rsidRPr="00794728">
        <w:rPr>
          <w:rFonts w:ascii="Arial" w:hAnsi="Arial" w:cs="Arial"/>
        </w:rPr>
        <w:t xml:space="preserve">afirma que “la vida sexual de la mujer adulta sigue siendo un </w:t>
      </w:r>
      <w:proofErr w:type="spellStart"/>
      <w:r w:rsidRPr="00794728">
        <w:rPr>
          <w:rFonts w:ascii="Arial" w:hAnsi="Arial" w:cs="Arial"/>
          <w:i/>
          <w:iCs/>
        </w:rPr>
        <w:t>dark</w:t>
      </w:r>
      <w:proofErr w:type="spellEnd"/>
      <w:r w:rsidRPr="00794728">
        <w:rPr>
          <w:rFonts w:ascii="Arial" w:hAnsi="Arial" w:cs="Arial"/>
          <w:i/>
          <w:iCs/>
        </w:rPr>
        <w:t xml:space="preserve"> </w:t>
      </w:r>
      <w:proofErr w:type="spellStart"/>
      <w:r w:rsidRPr="00794728">
        <w:rPr>
          <w:rFonts w:ascii="Arial" w:hAnsi="Arial" w:cs="Arial"/>
          <w:i/>
          <w:iCs/>
        </w:rPr>
        <w:t>continent</w:t>
      </w:r>
      <w:proofErr w:type="spellEnd"/>
      <w:r w:rsidRPr="00794728">
        <w:rPr>
          <w:rFonts w:ascii="Arial" w:hAnsi="Arial" w:cs="Arial"/>
          <w:i/>
          <w:iCs/>
        </w:rPr>
        <w:t xml:space="preserve"> </w:t>
      </w:r>
      <w:r w:rsidRPr="00794728">
        <w:rPr>
          <w:rFonts w:ascii="Arial" w:hAnsi="Arial" w:cs="Arial"/>
        </w:rPr>
        <w:t xml:space="preserve">[continente negro] para la psicología” (p. 199). A propósito de esta frase, Irigaray </w:t>
      </w:r>
      <w:r>
        <w:rPr>
          <w:rFonts w:ascii="Arial" w:hAnsi="Arial" w:cs="Arial"/>
        </w:rPr>
        <w:fldChar w:fldCharType="begin"/>
      </w:r>
      <w:r>
        <w:rPr>
          <w:rFonts w:ascii="Arial" w:hAnsi="Arial" w:cs="Arial"/>
        </w:rPr>
        <w:instrText xml:space="preserve"> ADDIN ZOTERO_ITEM CSL_CITATION {"citationID":"IzdpXE0j","properties":{"formattedCitation":"(1994)","plainCitation":"(1994)","noteIndex":0},"citationItems":[{"id":40,"uris":["http://zotero.org/users/12025499/items/TFMX99YB"],"itemData":{"id":40,"type":"article-journal","abstract":"El cuerpo a cuerpo con la madre","container-title":"Debate Feminista","DOI":"10.22201/cieg.2594066xe.1994.10.1793","ISSN":"2594-066X, 0188-9478","journalAbbreviation":"df","language":"es","page":"32-44","source":"DOI.org (Crossref)","title":"El cuerpo a cuerpo con la madre","volume":"10","author":[{"family":"Irigaray","given":"Luce"}],"issued":{"date-parts":[["1994",9,1]]}},"label":"page","suppress-author":true}],"schema":"https://github.com/citation-style-language/schema/raw/master/csl-citation.json"} </w:instrText>
      </w:r>
      <w:r>
        <w:rPr>
          <w:rFonts w:ascii="Arial" w:hAnsi="Arial" w:cs="Arial"/>
        </w:rPr>
        <w:fldChar w:fldCharType="separate"/>
      </w:r>
      <w:r w:rsidRPr="0059186C">
        <w:rPr>
          <w:rFonts w:ascii="Arial" w:hAnsi="Arial" w:cs="Arial"/>
        </w:rPr>
        <w:t>(1994)</w:t>
      </w:r>
      <w:r>
        <w:rPr>
          <w:rFonts w:ascii="Arial" w:hAnsi="Arial" w:cs="Arial"/>
        </w:rPr>
        <w:fldChar w:fldCharType="end"/>
      </w:r>
      <w:r>
        <w:rPr>
          <w:rFonts w:ascii="Arial" w:hAnsi="Arial" w:cs="Arial"/>
        </w:rPr>
        <w:t xml:space="preserve"> </w:t>
      </w:r>
      <w:r w:rsidRPr="00794728">
        <w:rPr>
          <w:rFonts w:ascii="Arial" w:hAnsi="Arial" w:cs="Arial"/>
        </w:rPr>
        <w:t xml:space="preserve">sostiene que la relación con la madre constituye “el continente negro por excelencia” (p. 34). </w:t>
      </w:r>
      <w:r>
        <w:rPr>
          <w:rFonts w:ascii="Arial" w:hAnsi="Arial" w:cs="Arial"/>
        </w:rPr>
        <w:t xml:space="preserve">En este apartado, se explorarán algunas aproximaciones a este difuso territorio. </w:t>
      </w:r>
    </w:p>
    <w:p w14:paraId="67814A63" w14:textId="77777777" w:rsidR="00FF0E83" w:rsidRDefault="00FF0E83" w:rsidP="00FF0E83">
      <w:pPr>
        <w:spacing w:line="360" w:lineRule="auto"/>
        <w:ind w:firstLine="708"/>
        <w:mirrorIndents/>
        <w:jc w:val="both"/>
        <w:rPr>
          <w:rFonts w:ascii="Arial" w:hAnsi="Arial" w:cs="Arial"/>
        </w:rPr>
      </w:pPr>
      <w:r>
        <w:rPr>
          <w:rFonts w:ascii="Arial" w:hAnsi="Arial" w:cs="Arial"/>
        </w:rPr>
        <w:t>Se revisarán los hallazgos de autoras pertenecientes a la escuela francesa en torno a la temática específica de la relación/vínculo</w:t>
      </w:r>
      <w:r>
        <w:rPr>
          <w:rStyle w:val="Refdenotaalpie"/>
          <w:rFonts w:ascii="Arial" w:hAnsi="Arial" w:cs="Arial"/>
        </w:rPr>
        <w:footnoteReference w:id="1"/>
      </w:r>
      <w:r>
        <w:rPr>
          <w:rFonts w:ascii="Arial" w:hAnsi="Arial" w:cs="Arial"/>
        </w:rPr>
        <w:t xml:space="preserve"> madre e hija, pasando por </w:t>
      </w:r>
      <w:r w:rsidRPr="005B4DF6">
        <w:rPr>
          <w:rFonts w:ascii="Arial" w:hAnsi="Arial" w:cs="Arial"/>
        </w:rPr>
        <w:t>Marie-</w:t>
      </w:r>
      <w:proofErr w:type="spellStart"/>
      <w:r w:rsidRPr="005B4DF6">
        <w:rPr>
          <w:rFonts w:ascii="Arial" w:hAnsi="Arial" w:cs="Arial"/>
        </w:rPr>
        <w:t>Magdeleine</w:t>
      </w:r>
      <w:proofErr w:type="spellEnd"/>
      <w:r>
        <w:rPr>
          <w:rFonts w:ascii="Arial" w:hAnsi="Arial" w:cs="Arial"/>
        </w:rPr>
        <w:t xml:space="preserve"> </w:t>
      </w:r>
      <w:proofErr w:type="spellStart"/>
      <w:r>
        <w:rPr>
          <w:rFonts w:ascii="Arial" w:hAnsi="Arial" w:cs="Arial"/>
        </w:rPr>
        <w:t>Lessana</w:t>
      </w:r>
      <w:proofErr w:type="spellEnd"/>
      <w:r>
        <w:rPr>
          <w:rFonts w:ascii="Arial" w:hAnsi="Arial" w:cs="Arial"/>
        </w:rPr>
        <w:t xml:space="preserve"> </w:t>
      </w:r>
      <w:r>
        <w:rPr>
          <w:rFonts w:ascii="Arial" w:hAnsi="Arial" w:cs="Arial"/>
        </w:rPr>
        <w:fldChar w:fldCharType="begin"/>
      </w:r>
      <w:r>
        <w:rPr>
          <w:rFonts w:ascii="Arial" w:hAnsi="Arial" w:cs="Arial"/>
        </w:rPr>
        <w:instrText xml:space="preserve"> ADDIN ZOTERO_ITEM CSL_CITATION {"citationID":"AyI8LqM9","properties":{"formattedCitation":"(2000)","plainCitation":"(2000)","noteIndex":0},"citationItems":[{"id":44,"uris":["http://zotero.org/users/12025499/items/IBX6W84G"],"itemData":{"id":44,"type":"book","language":"es","source":"Zotero","title":"Entre madre e hija: un ravage","author":[{"family":"Lessana","given":"Marie-Magdeleine"}],"translator":[{"family":"Reyes","given":"Patricia"}],"issued":{"date-parts":[["2000"]]}},"label":"page","suppress-author":true}],"schema":"https://github.com/citation-style-language/schema/raw/master/csl-citation.json"} </w:instrText>
      </w:r>
      <w:r>
        <w:rPr>
          <w:rFonts w:ascii="Arial" w:hAnsi="Arial" w:cs="Arial"/>
        </w:rPr>
        <w:fldChar w:fldCharType="separate"/>
      </w:r>
      <w:r w:rsidRPr="005B4DF6">
        <w:rPr>
          <w:rFonts w:ascii="Arial" w:hAnsi="Arial" w:cs="Arial"/>
        </w:rPr>
        <w:t>(2000)</w:t>
      </w:r>
      <w:r>
        <w:rPr>
          <w:rFonts w:ascii="Arial" w:hAnsi="Arial" w:cs="Arial"/>
        </w:rPr>
        <w:fldChar w:fldCharType="end"/>
      </w:r>
      <w:r>
        <w:rPr>
          <w:rFonts w:ascii="Arial" w:hAnsi="Arial" w:cs="Arial"/>
        </w:rPr>
        <w:t xml:space="preserve"> y el </w:t>
      </w:r>
      <w:proofErr w:type="spellStart"/>
      <w:r>
        <w:rPr>
          <w:rFonts w:ascii="Arial" w:hAnsi="Arial" w:cs="Arial"/>
          <w:i/>
          <w:iCs/>
        </w:rPr>
        <w:t>ravage</w:t>
      </w:r>
      <w:proofErr w:type="spellEnd"/>
      <w:r>
        <w:rPr>
          <w:rFonts w:ascii="Arial" w:hAnsi="Arial" w:cs="Arial"/>
          <w:i/>
          <w:iCs/>
        </w:rPr>
        <w:t xml:space="preserve">, </w:t>
      </w:r>
      <w:r>
        <w:rPr>
          <w:rFonts w:ascii="Arial" w:hAnsi="Arial" w:cs="Arial"/>
        </w:rPr>
        <w:t xml:space="preserve">Dominique </w:t>
      </w:r>
      <w:proofErr w:type="spellStart"/>
      <w:r>
        <w:rPr>
          <w:rFonts w:ascii="Arial" w:hAnsi="Arial" w:cs="Arial"/>
        </w:rPr>
        <w:t>Guyomard</w:t>
      </w:r>
      <w:proofErr w:type="spellEnd"/>
      <w:r>
        <w:rPr>
          <w:rFonts w:ascii="Arial" w:hAnsi="Arial" w:cs="Arial"/>
        </w:rPr>
        <w:t xml:space="preserve"> </w:t>
      </w:r>
      <w:r>
        <w:rPr>
          <w:rFonts w:ascii="Arial" w:hAnsi="Arial" w:cs="Arial"/>
        </w:rPr>
        <w:fldChar w:fldCharType="begin"/>
      </w:r>
      <w:r>
        <w:rPr>
          <w:rFonts w:ascii="Arial" w:hAnsi="Arial" w:cs="Arial"/>
        </w:rPr>
        <w:instrText xml:space="preserve"> ADDIN ZOTERO_ITEM CSL_CITATION {"citationID":"9yomRVq7","properties":{"formattedCitation":"(2013)","plainCitation":"(2013)","noteIndex":0},"citationItems":[{"id":34,"uris":["http://zotero.org/users/12025499/items/4ZC9GXUN"],"itemData":{"id":34,"type":"book","publisher":"Catalonia-Depto. de Psicología Universidad de Chile","title":"Nace una madre: del vínculo a la relación","author":[{"family":"Guyomard","given":"Dominique"}],"translator":[{"family":"Hernández","given":"Silvia"}],"editor":[{"family":"Aceituno","given":"Roberto"}],"issued":{"date-parts":[["2013"]]}},"label":"page","suppress-author":true}],"schema":"https://github.com/citation-style-language/schema/raw/master/csl-citation.json"} </w:instrText>
      </w:r>
      <w:r>
        <w:rPr>
          <w:rFonts w:ascii="Arial" w:hAnsi="Arial" w:cs="Arial"/>
        </w:rPr>
        <w:fldChar w:fldCharType="separate"/>
      </w:r>
      <w:r w:rsidRPr="005B4DF6">
        <w:rPr>
          <w:rFonts w:ascii="Arial" w:hAnsi="Arial" w:cs="Arial"/>
        </w:rPr>
        <w:t>(2013)</w:t>
      </w:r>
      <w:r>
        <w:rPr>
          <w:rFonts w:ascii="Arial" w:hAnsi="Arial" w:cs="Arial"/>
        </w:rPr>
        <w:fldChar w:fldCharType="end"/>
      </w:r>
      <w:r>
        <w:rPr>
          <w:rFonts w:ascii="Arial" w:hAnsi="Arial" w:cs="Arial"/>
        </w:rPr>
        <w:t xml:space="preserve"> con su desarrollo en torno al efecto-madre y el pasaje a la relación e Irigaray (1978; 1992; 1994), considerando sus aportes sobre la maternidad y la cultura. </w:t>
      </w:r>
    </w:p>
    <w:p w14:paraId="660FB0D2" w14:textId="77777777" w:rsidR="00FF0E83" w:rsidRDefault="00FF0E83" w:rsidP="00FF0E83">
      <w:pPr>
        <w:spacing w:line="360" w:lineRule="auto"/>
        <w:ind w:firstLine="708"/>
        <w:mirrorIndents/>
        <w:jc w:val="both"/>
        <w:rPr>
          <w:rFonts w:ascii="Arial" w:hAnsi="Arial" w:cs="Arial"/>
        </w:rPr>
      </w:pPr>
      <w:r>
        <w:rPr>
          <w:rFonts w:ascii="Arial" w:hAnsi="Arial" w:cs="Arial"/>
        </w:rPr>
        <w:t>La elección de estas perspectivas teóricas se debe a que las autoras en cuestión son referentes bibliográficos para el psicoanálisis al momento de enfrentarse al terreno difuso de la maternidad y, en específico, a la temática de la relación madre e hija. Asimismo, proponen conceptos de autoría a propósito de los desarrollos clásicos freudianos y lacanianos en este campo, introduciendo la novedad del estudio de lo femenino.</w:t>
      </w:r>
    </w:p>
    <w:p w14:paraId="02FF67F9" w14:textId="77777777" w:rsidR="00FF0E83" w:rsidRPr="00D605A5" w:rsidRDefault="00FF0E83" w:rsidP="00FF0E83">
      <w:pPr>
        <w:pStyle w:val="Prrafodelista"/>
        <w:numPr>
          <w:ilvl w:val="0"/>
          <w:numId w:val="5"/>
        </w:numPr>
        <w:spacing w:line="360" w:lineRule="auto"/>
        <w:mirrorIndents/>
        <w:jc w:val="both"/>
        <w:rPr>
          <w:rFonts w:ascii="Arial" w:hAnsi="Arial" w:cs="Arial"/>
        </w:rPr>
      </w:pPr>
      <w:r w:rsidRPr="00D605A5">
        <w:rPr>
          <w:rFonts w:ascii="Arial" w:hAnsi="Arial" w:cs="Arial"/>
          <w:b/>
          <w:bCs/>
        </w:rPr>
        <w:t>El estrago materno</w:t>
      </w:r>
      <w:r w:rsidRPr="00D605A5">
        <w:rPr>
          <w:rFonts w:ascii="Arial" w:hAnsi="Arial" w:cs="Arial"/>
        </w:rPr>
        <w:t xml:space="preserve"> </w:t>
      </w:r>
    </w:p>
    <w:p w14:paraId="1B445C5A" w14:textId="77777777" w:rsidR="00FF0E83" w:rsidRPr="00794728" w:rsidRDefault="00FF0E83" w:rsidP="00FF0E83">
      <w:pPr>
        <w:spacing w:line="360" w:lineRule="auto"/>
        <w:ind w:firstLine="708"/>
        <w:mirrorIndents/>
        <w:jc w:val="both"/>
        <w:rPr>
          <w:rFonts w:ascii="Arial" w:hAnsi="Arial" w:cs="Arial"/>
        </w:rPr>
      </w:pPr>
      <w:r w:rsidRPr="00794728">
        <w:rPr>
          <w:rFonts w:ascii="Arial" w:hAnsi="Arial" w:cs="Arial"/>
        </w:rPr>
        <w:t>Desde la vereda lacaniana, el campo de lo materno se ha estudiado a partir del fenómeno del estrago</w:t>
      </w:r>
      <w:r w:rsidRPr="00794728">
        <w:rPr>
          <w:rFonts w:ascii="Arial" w:hAnsi="Arial" w:cs="Arial"/>
          <w:i/>
          <w:iCs/>
        </w:rPr>
        <w:t xml:space="preserve">. </w:t>
      </w:r>
      <w:r w:rsidRPr="00794728">
        <w:rPr>
          <w:rFonts w:ascii="Arial" w:hAnsi="Arial" w:cs="Arial"/>
        </w:rPr>
        <w:t xml:space="preserve">En francés, el concepto </w:t>
      </w:r>
      <w:proofErr w:type="spellStart"/>
      <w:r w:rsidRPr="00794728">
        <w:rPr>
          <w:rFonts w:ascii="Arial" w:hAnsi="Arial" w:cs="Arial"/>
          <w:i/>
          <w:iCs/>
        </w:rPr>
        <w:t>ravage</w:t>
      </w:r>
      <w:proofErr w:type="spellEnd"/>
      <w:r w:rsidRPr="00794728">
        <w:rPr>
          <w:rFonts w:ascii="Arial" w:hAnsi="Arial" w:cs="Arial"/>
          <w:i/>
          <w:iCs/>
        </w:rPr>
        <w:t xml:space="preserve"> </w:t>
      </w:r>
      <w:r w:rsidRPr="00794728">
        <w:rPr>
          <w:rFonts w:ascii="Arial" w:hAnsi="Arial" w:cs="Arial"/>
        </w:rPr>
        <w:t xml:space="preserve">[estrago] refiere a la devastación, a “hacerse amar y hacerse sufrir” </w:t>
      </w:r>
      <w:r>
        <w:rPr>
          <w:rFonts w:ascii="Arial" w:hAnsi="Arial" w:cs="Arial"/>
        </w:rPr>
        <w:fldChar w:fldCharType="begin"/>
      </w:r>
      <w:r>
        <w:rPr>
          <w:rFonts w:ascii="Arial" w:hAnsi="Arial" w:cs="Arial"/>
        </w:rPr>
        <w:instrText xml:space="preserve"> ADDIN ZOTERO_ITEM CSL_CITATION {"citationID":"CSBGUGso","properties":{"formattedCitation":"(Zawady, 2017, p. 48)","plainCitation":"(Zawady, 2017, p. 48)","noteIndex":0},"citationItems":[{"id":49,"uris":["http://zotero.org/users/12025499/items/FFXPDCM8"],"itemData":{"id":49,"type":"article-journal","abstract":"The clinical reflection on the “maternal ravage” is an effort to analyze whether it should rise to the level of a concept within psychoanalytic theory. By naming it, Lacan exposes the constitutive nature of the phenomenon as the inherently deadly side of the libidinization that the Desire-of-theMother introduces in the genesis of the subject. This is how the hypothesis emerges that this term refers to a structural fact to be studied within the clinic of the neuroses, in both male and female sexed subjects. Given the ravage responds to the failure of the symbolic to envelop the mother’s enjoyment, the father-symptom’s insufficiency to interpret the maternal desire is questioned, to the extent that the latter is backed up by another void: the absence of a significant that can articulate the female sex in the unconscious. Therefore, if the father-symptom also has a structural failure to make of the mother a woman who causes his desire, then both sexes have difficulties in accepting the woman within her.","container-title":"Ética y Cine Journal","DOI":"10.31056/2250.5415.v7.n2.18976","ISSN":"2250-5415, 2250-5660","issue":"2","journalAbbreviation":"EyCJ","language":"es","page":"47","source":"DOI.org (Crossref)","title":"El “estrago materno” como concepto psicoanalítico","volume":"7","author":[{"family":"Zawady","given":"Megdy"}],"issued":{"date-parts":[["2017",7,3]]}},"locator":"48","label":"page"}],"schema":"https://github.com/citation-style-language/schema/raw/master/csl-citation.json"} </w:instrText>
      </w:r>
      <w:r>
        <w:rPr>
          <w:rFonts w:ascii="Arial" w:hAnsi="Arial" w:cs="Arial"/>
        </w:rPr>
        <w:fldChar w:fldCharType="separate"/>
      </w:r>
      <w:r w:rsidRPr="00A221B4">
        <w:rPr>
          <w:rFonts w:ascii="Arial" w:hAnsi="Arial" w:cs="Arial"/>
        </w:rPr>
        <w:t>(Zawady, 2017, p. 48)</w:t>
      </w:r>
      <w:r>
        <w:rPr>
          <w:rFonts w:ascii="Arial" w:hAnsi="Arial" w:cs="Arial"/>
        </w:rPr>
        <w:fldChar w:fldCharType="end"/>
      </w:r>
      <w:r>
        <w:rPr>
          <w:rFonts w:ascii="Arial" w:hAnsi="Arial" w:cs="Arial"/>
        </w:rPr>
        <w:t xml:space="preserve"> </w:t>
      </w:r>
      <w:r w:rsidRPr="00794728">
        <w:rPr>
          <w:rFonts w:ascii="Arial" w:hAnsi="Arial" w:cs="Arial"/>
        </w:rPr>
        <w:t xml:space="preserve">etimológicamente, tiene su raíz en el verbo </w:t>
      </w:r>
      <w:proofErr w:type="spellStart"/>
      <w:r w:rsidRPr="00794728">
        <w:rPr>
          <w:rFonts w:ascii="Arial" w:hAnsi="Arial" w:cs="Arial"/>
          <w:i/>
          <w:iCs/>
        </w:rPr>
        <w:t>ravir</w:t>
      </w:r>
      <w:proofErr w:type="spellEnd"/>
      <w:r w:rsidRPr="00794728">
        <w:rPr>
          <w:rFonts w:ascii="Arial" w:hAnsi="Arial" w:cs="Arial"/>
          <w:i/>
          <w:iCs/>
        </w:rPr>
        <w:t xml:space="preserve"> </w:t>
      </w:r>
      <w:r w:rsidRPr="00794728">
        <w:rPr>
          <w:rFonts w:ascii="Arial" w:hAnsi="Arial" w:cs="Arial"/>
        </w:rPr>
        <w:t>[arrebatar], cuestión que se experimenta como peligro de devastación en la feminidad (</w:t>
      </w:r>
      <w:proofErr w:type="spellStart"/>
      <w:r>
        <w:rPr>
          <w:rFonts w:ascii="Arial" w:hAnsi="Arial" w:cs="Arial"/>
        </w:rPr>
        <w:t>Lessana</w:t>
      </w:r>
      <w:proofErr w:type="spellEnd"/>
      <w:r>
        <w:rPr>
          <w:rFonts w:ascii="Arial" w:hAnsi="Arial" w:cs="Arial"/>
        </w:rPr>
        <w:t>, 2000</w:t>
      </w:r>
      <w:r w:rsidRPr="00794728">
        <w:rPr>
          <w:rFonts w:ascii="Arial" w:hAnsi="Arial" w:cs="Arial"/>
        </w:rPr>
        <w:t xml:space="preserve">). Para Lacan, el estrago materno alude a las consecuencias </w:t>
      </w:r>
      <w:r w:rsidRPr="00794728">
        <w:rPr>
          <w:rFonts w:ascii="Arial" w:hAnsi="Arial" w:cs="Arial"/>
        </w:rPr>
        <w:lastRenderedPageBreak/>
        <w:t>mortíferas y devastadoras del deseo de la madre que lo simbólico no logra recubrir (</w:t>
      </w:r>
      <w:proofErr w:type="spellStart"/>
      <w:r w:rsidRPr="00794728">
        <w:rPr>
          <w:rFonts w:ascii="Arial" w:hAnsi="Arial" w:cs="Arial"/>
        </w:rPr>
        <w:t>Zawady</w:t>
      </w:r>
      <w:proofErr w:type="spellEnd"/>
      <w:r w:rsidRPr="00794728">
        <w:rPr>
          <w:rFonts w:ascii="Arial" w:hAnsi="Arial" w:cs="Arial"/>
        </w:rPr>
        <w:t xml:space="preserve">, 2017), como la boca de un cocodrilo que pretende devorar al niño. </w:t>
      </w:r>
    </w:p>
    <w:p w14:paraId="2897B893" w14:textId="77777777" w:rsidR="00FF0E83" w:rsidRPr="00E66F97" w:rsidRDefault="00FF0E83" w:rsidP="00FF0E83">
      <w:pPr>
        <w:spacing w:line="360" w:lineRule="auto"/>
        <w:ind w:firstLine="708"/>
        <w:mirrorIndents/>
        <w:jc w:val="both"/>
        <w:rPr>
          <w:rFonts w:ascii="Arial" w:hAnsi="Arial" w:cs="Arial"/>
        </w:rPr>
      </w:pPr>
      <w:r w:rsidRPr="00794728">
        <w:rPr>
          <w:rFonts w:ascii="Arial" w:hAnsi="Arial" w:cs="Arial"/>
        </w:rPr>
        <w:t>Marie-</w:t>
      </w:r>
      <w:proofErr w:type="spellStart"/>
      <w:r w:rsidRPr="00794728">
        <w:rPr>
          <w:rFonts w:ascii="Arial" w:hAnsi="Arial" w:cs="Arial"/>
        </w:rPr>
        <w:t>Magdeleine</w:t>
      </w:r>
      <w:proofErr w:type="spellEnd"/>
      <w:r w:rsidRPr="00794728">
        <w:rPr>
          <w:rFonts w:ascii="Arial" w:hAnsi="Arial" w:cs="Arial"/>
        </w:rPr>
        <w:t xml:space="preserve"> </w:t>
      </w:r>
      <w:proofErr w:type="spellStart"/>
      <w:r w:rsidRPr="00794728">
        <w:rPr>
          <w:rFonts w:ascii="Arial" w:hAnsi="Arial" w:cs="Arial"/>
        </w:rPr>
        <w:t>Lessana</w:t>
      </w:r>
      <w:proofErr w:type="spellEnd"/>
      <w:r w:rsidRPr="00794728">
        <w:rPr>
          <w:rFonts w:ascii="Arial" w:hAnsi="Arial" w:cs="Arial"/>
        </w:rPr>
        <w:t xml:space="preserve"> (2000) profundiza en la teorización sobre el estrago en su texto </w:t>
      </w:r>
      <w:r w:rsidRPr="00794728">
        <w:rPr>
          <w:rFonts w:ascii="Arial" w:hAnsi="Arial" w:cs="Arial"/>
          <w:i/>
          <w:iCs/>
        </w:rPr>
        <w:t xml:space="preserve">Entre madre e hija: un </w:t>
      </w:r>
      <w:proofErr w:type="spellStart"/>
      <w:r w:rsidRPr="00794728">
        <w:rPr>
          <w:rFonts w:ascii="Arial" w:hAnsi="Arial" w:cs="Arial"/>
          <w:i/>
          <w:iCs/>
        </w:rPr>
        <w:t>ravage</w:t>
      </w:r>
      <w:proofErr w:type="spellEnd"/>
      <w:r w:rsidRPr="00794728">
        <w:rPr>
          <w:rFonts w:ascii="Arial" w:hAnsi="Arial" w:cs="Arial"/>
          <w:i/>
          <w:iCs/>
        </w:rPr>
        <w:t xml:space="preserve">. </w:t>
      </w:r>
      <w:r>
        <w:rPr>
          <w:rFonts w:ascii="Arial" w:hAnsi="Arial" w:cs="Arial"/>
        </w:rPr>
        <w:t xml:space="preserve">Este es un fenómeno ineludible del ser mujer en cuanto la relación con la madre, que incluso prima sobre la búsqueda del falo paterno. Se moviliza a partir de la pregunta: ¿Dónde está la mujer en mi madre?, en un intento por descubrir el misterio de lo erótico en ella. </w:t>
      </w:r>
    </w:p>
    <w:p w14:paraId="5F909BA5" w14:textId="77777777" w:rsidR="00FF0E83" w:rsidRDefault="00FF0E83" w:rsidP="00FF0E83">
      <w:pPr>
        <w:spacing w:line="360" w:lineRule="auto"/>
        <w:ind w:firstLine="708"/>
        <w:mirrorIndents/>
        <w:jc w:val="both"/>
        <w:rPr>
          <w:rFonts w:ascii="Arial" w:hAnsi="Arial" w:cs="Arial"/>
        </w:rPr>
      </w:pPr>
      <w:r>
        <w:rPr>
          <w:rFonts w:ascii="Arial" w:hAnsi="Arial" w:cs="Arial"/>
        </w:rPr>
        <w:t xml:space="preserve">El estrago se da entre dos mujeres: la madre y la hija, ambas tocadas por </w:t>
      </w:r>
      <w:r w:rsidRPr="00794728">
        <w:rPr>
          <w:rFonts w:ascii="Arial" w:hAnsi="Arial" w:cs="Arial"/>
        </w:rPr>
        <w:t>una “imagen de cuerpo de mujer deslumbrante (…) eminentemente deseable” (</w:t>
      </w:r>
      <w:proofErr w:type="spellStart"/>
      <w:r w:rsidRPr="00794728">
        <w:rPr>
          <w:rFonts w:ascii="Arial" w:hAnsi="Arial" w:cs="Arial"/>
        </w:rPr>
        <w:t>Lessana</w:t>
      </w:r>
      <w:proofErr w:type="spellEnd"/>
      <w:r w:rsidRPr="00794728">
        <w:rPr>
          <w:rFonts w:ascii="Arial" w:hAnsi="Arial" w:cs="Arial"/>
        </w:rPr>
        <w:t>, 2000, p. 4) por un hombre</w:t>
      </w:r>
      <w:r>
        <w:rPr>
          <w:rFonts w:ascii="Arial" w:hAnsi="Arial" w:cs="Arial"/>
        </w:rPr>
        <w:t>,</w:t>
      </w:r>
      <w:r w:rsidRPr="00794728">
        <w:rPr>
          <w:rFonts w:ascii="Arial" w:hAnsi="Arial" w:cs="Arial"/>
        </w:rPr>
        <w:t xml:space="preserve"> que hace desvanecerse a quien observa</w:t>
      </w:r>
      <w:r>
        <w:rPr>
          <w:rFonts w:ascii="Arial" w:hAnsi="Arial" w:cs="Arial"/>
        </w:rPr>
        <w:t xml:space="preserve">. Es la prueba que revela la imposible armonía entre ambas, encontrándose en un lugar </w:t>
      </w:r>
      <w:r w:rsidRPr="00794728">
        <w:rPr>
          <w:rFonts w:ascii="Arial" w:hAnsi="Arial" w:cs="Arial"/>
        </w:rPr>
        <w:t xml:space="preserve">donde “no hay ni identidad sexual, ni transmisión de rasgos femeninos de madre a hija: un espacio donde juegan las turbulencias de un amor posesivo, </w:t>
      </w:r>
      <w:proofErr w:type="spellStart"/>
      <w:r w:rsidRPr="00794728">
        <w:rPr>
          <w:rFonts w:ascii="Arial" w:hAnsi="Arial" w:cs="Arial"/>
        </w:rPr>
        <w:t>desposeedor</w:t>
      </w:r>
      <w:proofErr w:type="spellEnd"/>
      <w:r w:rsidRPr="00794728">
        <w:rPr>
          <w:rFonts w:ascii="Arial" w:hAnsi="Arial" w:cs="Arial"/>
        </w:rPr>
        <w:t>, un lazo adictivo” (</w:t>
      </w:r>
      <w:proofErr w:type="spellStart"/>
      <w:r w:rsidRPr="00794728">
        <w:rPr>
          <w:rFonts w:ascii="Arial" w:hAnsi="Arial" w:cs="Arial"/>
        </w:rPr>
        <w:t>Lessana</w:t>
      </w:r>
      <w:proofErr w:type="spellEnd"/>
      <w:r w:rsidRPr="00794728">
        <w:rPr>
          <w:rFonts w:ascii="Arial" w:hAnsi="Arial" w:cs="Arial"/>
        </w:rPr>
        <w:t>, 2000, p.5)</w:t>
      </w:r>
      <w:r>
        <w:rPr>
          <w:rFonts w:ascii="Arial" w:hAnsi="Arial" w:cs="Arial"/>
        </w:rPr>
        <w:t>.  Es una violencia que no refiere a la rivalidad entre ambas, sino que tiene su núcleo en el odio que ha sido ignorado de una demanda de amor a la madre que no concluye (</w:t>
      </w:r>
      <w:proofErr w:type="spellStart"/>
      <w:r>
        <w:rPr>
          <w:rFonts w:ascii="Arial" w:hAnsi="Arial" w:cs="Arial"/>
        </w:rPr>
        <w:t>Lessana</w:t>
      </w:r>
      <w:proofErr w:type="spellEnd"/>
      <w:r>
        <w:rPr>
          <w:rFonts w:ascii="Arial" w:hAnsi="Arial" w:cs="Arial"/>
        </w:rPr>
        <w:t xml:space="preserve">, 2000). </w:t>
      </w:r>
    </w:p>
    <w:p w14:paraId="49AFE447" w14:textId="77777777" w:rsidR="00FF0E83" w:rsidRDefault="00FF0E83" w:rsidP="00FF0E83">
      <w:pPr>
        <w:spacing w:line="360" w:lineRule="auto"/>
        <w:ind w:firstLine="708"/>
        <w:mirrorIndents/>
        <w:jc w:val="both"/>
        <w:rPr>
          <w:rFonts w:ascii="Arial" w:hAnsi="Arial" w:cs="Arial"/>
        </w:rPr>
      </w:pPr>
      <w:r>
        <w:rPr>
          <w:rFonts w:ascii="Arial" w:hAnsi="Arial" w:cs="Arial"/>
        </w:rPr>
        <w:t>Entonces, en el centro de la catástrofe de este vínculo se encuentra una imagen resplandeciente, deseable y persecutoria.  Esta</w:t>
      </w:r>
      <w:r w:rsidRPr="00794728">
        <w:rPr>
          <w:rFonts w:ascii="Arial" w:hAnsi="Arial" w:cs="Arial"/>
        </w:rPr>
        <w:t xml:space="preserve"> se instala generalmente en la pubertad de la hija o en algún momento de encuentro erótico, </w:t>
      </w:r>
      <w:r>
        <w:rPr>
          <w:rFonts w:ascii="Arial" w:hAnsi="Arial" w:cs="Arial"/>
        </w:rPr>
        <w:t>donde esta experimenta el “transformarse mujer”, aunque también lo hace la madre, pues debe renunciar a los placeres eróticos de la primera infancia para mutar al deseo sexual “</w:t>
      </w:r>
      <w:r w:rsidRPr="00794728">
        <w:rPr>
          <w:rFonts w:ascii="Arial" w:hAnsi="Arial" w:cs="Arial"/>
        </w:rPr>
        <w:t>esta entrega es un desgarro que deja a la madre herida” (</w:t>
      </w:r>
      <w:proofErr w:type="spellStart"/>
      <w:r w:rsidRPr="00794728">
        <w:rPr>
          <w:rFonts w:ascii="Arial" w:hAnsi="Arial" w:cs="Arial"/>
        </w:rPr>
        <w:t>Lessana</w:t>
      </w:r>
      <w:proofErr w:type="spellEnd"/>
      <w:r w:rsidRPr="00794728">
        <w:rPr>
          <w:rFonts w:ascii="Arial" w:hAnsi="Arial" w:cs="Arial"/>
        </w:rPr>
        <w:t>, 2000, p.6)</w:t>
      </w:r>
      <w:r>
        <w:rPr>
          <w:rFonts w:ascii="Arial" w:hAnsi="Arial" w:cs="Arial"/>
        </w:rPr>
        <w:t xml:space="preserve">. </w:t>
      </w:r>
    </w:p>
    <w:p w14:paraId="7BD561BD" w14:textId="77777777" w:rsidR="00FF0E83" w:rsidRPr="00794728" w:rsidRDefault="00FF0E83" w:rsidP="00FF0E83">
      <w:pPr>
        <w:spacing w:line="360" w:lineRule="auto"/>
        <w:ind w:firstLine="708"/>
        <w:mirrorIndents/>
        <w:jc w:val="both"/>
        <w:rPr>
          <w:rFonts w:ascii="Arial" w:hAnsi="Arial" w:cs="Arial"/>
        </w:rPr>
      </w:pPr>
      <w:r w:rsidRPr="00794728">
        <w:rPr>
          <w:rFonts w:ascii="Arial" w:hAnsi="Arial" w:cs="Arial"/>
        </w:rPr>
        <w:t xml:space="preserve">Para </w:t>
      </w:r>
      <w:proofErr w:type="spellStart"/>
      <w:r w:rsidRPr="00794728">
        <w:rPr>
          <w:rFonts w:ascii="Arial" w:hAnsi="Arial" w:cs="Arial"/>
        </w:rPr>
        <w:t>Lessana</w:t>
      </w:r>
      <w:proofErr w:type="spellEnd"/>
      <w:r w:rsidRPr="00794728">
        <w:rPr>
          <w:rFonts w:ascii="Arial" w:hAnsi="Arial" w:cs="Arial"/>
        </w:rPr>
        <w:t xml:space="preserve"> (2000), el </w:t>
      </w:r>
      <w:proofErr w:type="spellStart"/>
      <w:r w:rsidRPr="00794728">
        <w:rPr>
          <w:rFonts w:ascii="Arial" w:hAnsi="Arial" w:cs="Arial"/>
          <w:i/>
        </w:rPr>
        <w:t>ravage</w:t>
      </w:r>
      <w:proofErr w:type="spellEnd"/>
      <w:r w:rsidRPr="00794728">
        <w:rPr>
          <w:rFonts w:ascii="Arial" w:hAnsi="Arial" w:cs="Arial"/>
        </w:rPr>
        <w:t xml:space="preserve"> adopta la forma de una prueba, un pasaje que ha de atravesarse para salir de la persecución que trae consigo la imagen deslumbrante. Dicho paso depende de que el odio entre madre e hija tenga lugar y debe ser confrontado por una y otra. De este modo, el atravesamiento del estrago no es una tarea individual, ambas deben hacer una renuncia</w:t>
      </w:r>
      <w:r>
        <w:rPr>
          <w:rFonts w:ascii="Arial" w:hAnsi="Arial" w:cs="Arial"/>
        </w:rPr>
        <w:t xml:space="preserve">, </w:t>
      </w:r>
      <w:r w:rsidRPr="00794728">
        <w:rPr>
          <w:rFonts w:ascii="Arial" w:hAnsi="Arial" w:cs="Arial"/>
        </w:rPr>
        <w:t xml:space="preserve">la hija a la demanda por la identificación femenina y la madre a la separación de la primera infancia.  </w:t>
      </w:r>
    </w:p>
    <w:p w14:paraId="441389B8" w14:textId="77777777" w:rsidR="00FF0E83" w:rsidRDefault="00FF0E83" w:rsidP="00FF0E83">
      <w:pPr>
        <w:spacing w:line="360" w:lineRule="auto"/>
        <w:ind w:firstLine="708"/>
        <w:mirrorIndents/>
        <w:jc w:val="both"/>
        <w:rPr>
          <w:rFonts w:ascii="Arial" w:hAnsi="Arial" w:cs="Arial"/>
        </w:rPr>
      </w:pPr>
      <w:r w:rsidRPr="00794728">
        <w:rPr>
          <w:rFonts w:ascii="Arial" w:hAnsi="Arial" w:cs="Arial"/>
        </w:rPr>
        <w:t xml:space="preserve">La conclusión del </w:t>
      </w:r>
      <w:proofErr w:type="spellStart"/>
      <w:r w:rsidRPr="00794728">
        <w:rPr>
          <w:rFonts w:ascii="Arial" w:hAnsi="Arial" w:cs="Arial"/>
          <w:i/>
        </w:rPr>
        <w:t>ravage</w:t>
      </w:r>
      <w:proofErr w:type="spellEnd"/>
      <w:r w:rsidRPr="00794728">
        <w:rPr>
          <w:rFonts w:ascii="Arial" w:hAnsi="Arial" w:cs="Arial"/>
        </w:rPr>
        <w:t xml:space="preserve"> “se trata de un hacer que opere una separación sin sustitución, sin residuos, sin compatibilidad, sin transmisión, sin negociación, sin intercambio, sin condición, es una deserción” (</w:t>
      </w:r>
      <w:proofErr w:type="spellStart"/>
      <w:r w:rsidRPr="00794728">
        <w:rPr>
          <w:rFonts w:ascii="Arial" w:hAnsi="Arial" w:cs="Arial"/>
        </w:rPr>
        <w:t>Lessana</w:t>
      </w:r>
      <w:proofErr w:type="spellEnd"/>
      <w:r w:rsidRPr="00794728">
        <w:rPr>
          <w:rFonts w:ascii="Arial" w:hAnsi="Arial" w:cs="Arial"/>
        </w:rPr>
        <w:t xml:space="preserve">, 2000, p. 168), inscribiendo una cicatriz que deja huella en lo real del cuerpo, haciendo una barrera entre madre </w:t>
      </w:r>
      <w:r w:rsidRPr="00794728">
        <w:rPr>
          <w:rFonts w:ascii="Arial" w:hAnsi="Arial" w:cs="Arial"/>
        </w:rPr>
        <w:lastRenderedPageBreak/>
        <w:t xml:space="preserve">e hija. </w:t>
      </w:r>
      <w:proofErr w:type="spellStart"/>
      <w:r>
        <w:rPr>
          <w:rFonts w:ascii="Arial" w:hAnsi="Arial" w:cs="Arial"/>
        </w:rPr>
        <w:t>Aún</w:t>
      </w:r>
      <w:proofErr w:type="spellEnd"/>
      <w:r>
        <w:rPr>
          <w:rFonts w:ascii="Arial" w:hAnsi="Arial" w:cs="Arial"/>
        </w:rPr>
        <w:t xml:space="preserve"> así, el estrago no siempre es atravesado, pues puede ser esquivado o, también, existe la posibilidad de que jamás se salga de él, al no lograr hacer una separación con la madre (</w:t>
      </w:r>
      <w:proofErr w:type="spellStart"/>
      <w:r>
        <w:rPr>
          <w:rFonts w:ascii="Arial" w:hAnsi="Arial" w:cs="Arial"/>
        </w:rPr>
        <w:t>Lessana</w:t>
      </w:r>
      <w:proofErr w:type="spellEnd"/>
      <w:r>
        <w:rPr>
          <w:rFonts w:ascii="Arial" w:hAnsi="Arial" w:cs="Arial"/>
        </w:rPr>
        <w:t>, 2000).</w:t>
      </w:r>
    </w:p>
    <w:p w14:paraId="3C972DA3" w14:textId="77777777" w:rsidR="00FF0E83" w:rsidRPr="009652C8" w:rsidRDefault="00FF0E83" w:rsidP="00FF0E83">
      <w:pPr>
        <w:pStyle w:val="Prrafodelista"/>
        <w:numPr>
          <w:ilvl w:val="0"/>
          <w:numId w:val="5"/>
        </w:numPr>
        <w:spacing w:line="360" w:lineRule="auto"/>
        <w:mirrorIndents/>
        <w:jc w:val="both"/>
        <w:rPr>
          <w:rFonts w:ascii="Arial" w:hAnsi="Arial" w:cs="Arial"/>
          <w:b/>
          <w:bCs/>
        </w:rPr>
      </w:pPr>
      <w:r w:rsidRPr="009652C8">
        <w:rPr>
          <w:rFonts w:ascii="Arial" w:hAnsi="Arial" w:cs="Arial"/>
          <w:b/>
          <w:bCs/>
        </w:rPr>
        <w:t>La imposible transmisión de lo femenino</w:t>
      </w:r>
    </w:p>
    <w:p w14:paraId="0EBE9F3C" w14:textId="77777777" w:rsidR="00FF0E83" w:rsidRPr="008D7D09" w:rsidRDefault="00FF0E83" w:rsidP="00FF0E83">
      <w:pPr>
        <w:spacing w:line="360" w:lineRule="auto"/>
        <w:ind w:firstLine="708"/>
        <w:mirrorIndents/>
        <w:jc w:val="both"/>
        <w:rPr>
          <w:rFonts w:ascii="Arial" w:hAnsi="Arial" w:cs="Arial"/>
        </w:rPr>
      </w:pPr>
      <w:proofErr w:type="gramStart"/>
      <w:r>
        <w:rPr>
          <w:rFonts w:ascii="Arial" w:hAnsi="Arial" w:cs="Arial"/>
        </w:rPr>
        <w:t>De acuerdo a</w:t>
      </w:r>
      <w:proofErr w:type="gramEnd"/>
      <w:r>
        <w:rPr>
          <w:rFonts w:ascii="Arial" w:hAnsi="Arial" w:cs="Arial"/>
        </w:rPr>
        <w:t xml:space="preserve"> </w:t>
      </w:r>
      <w:proofErr w:type="spellStart"/>
      <w:r>
        <w:rPr>
          <w:rFonts w:ascii="Arial" w:hAnsi="Arial" w:cs="Arial"/>
        </w:rPr>
        <w:t>Lessana</w:t>
      </w:r>
      <w:proofErr w:type="spellEnd"/>
      <w:r>
        <w:rPr>
          <w:rFonts w:ascii="Arial" w:hAnsi="Arial" w:cs="Arial"/>
        </w:rPr>
        <w:t xml:space="preserve"> (2000), el </w:t>
      </w:r>
      <w:proofErr w:type="spellStart"/>
      <w:r>
        <w:rPr>
          <w:rFonts w:ascii="Arial" w:hAnsi="Arial" w:cs="Arial"/>
          <w:i/>
          <w:iCs/>
        </w:rPr>
        <w:t>ravage</w:t>
      </w:r>
      <w:proofErr w:type="spellEnd"/>
      <w:r>
        <w:rPr>
          <w:rFonts w:ascii="Arial" w:hAnsi="Arial" w:cs="Arial"/>
          <w:i/>
          <w:iCs/>
        </w:rPr>
        <w:t xml:space="preserve"> </w:t>
      </w:r>
      <w:r>
        <w:rPr>
          <w:rFonts w:ascii="Arial" w:hAnsi="Arial" w:cs="Arial"/>
        </w:rPr>
        <w:t xml:space="preserve">es la prueba de que madre e hija no tienen nada en común, no es posible hacer una comunidad de lo que significa ser mujer. Dicho de otro modo, para la autora no existe la transmisión de lo femenino, más bien, esta </w:t>
      </w:r>
      <w:r w:rsidRPr="00794728">
        <w:rPr>
          <w:rFonts w:ascii="Arial" w:hAnsi="Arial" w:cs="Arial"/>
        </w:rPr>
        <w:t>“es la prueba de una imposible transmisión del sexo” (</w:t>
      </w:r>
      <w:proofErr w:type="spellStart"/>
      <w:r w:rsidRPr="00794728">
        <w:rPr>
          <w:rFonts w:ascii="Arial" w:hAnsi="Arial" w:cs="Arial"/>
        </w:rPr>
        <w:t>Lessana</w:t>
      </w:r>
      <w:proofErr w:type="spellEnd"/>
      <w:r w:rsidRPr="00794728">
        <w:rPr>
          <w:rFonts w:ascii="Arial" w:hAnsi="Arial" w:cs="Arial"/>
        </w:rPr>
        <w:t>, 2000, p. 8)</w:t>
      </w:r>
    </w:p>
    <w:p w14:paraId="41EF6C2E" w14:textId="77777777" w:rsidR="00FF0E83" w:rsidRDefault="00FF0E83" w:rsidP="00FF0E83">
      <w:pPr>
        <w:spacing w:line="360" w:lineRule="auto"/>
        <w:mirrorIndents/>
        <w:jc w:val="both"/>
        <w:rPr>
          <w:rFonts w:ascii="Arial" w:hAnsi="Arial" w:cs="Arial"/>
          <w:i/>
          <w:iCs/>
        </w:rPr>
      </w:pPr>
      <w:r>
        <w:rPr>
          <w:rFonts w:ascii="Arial" w:hAnsi="Arial" w:cs="Arial"/>
        </w:rPr>
        <w:tab/>
        <w:t xml:space="preserve">Entonces, para la escritora, no será posible una identificación femenina ni una transmisión del saber sobre lo sexual en la relación madre e hija y es en este lugar donde se asienta la prueba del </w:t>
      </w:r>
      <w:proofErr w:type="spellStart"/>
      <w:r>
        <w:rPr>
          <w:rFonts w:ascii="Arial" w:hAnsi="Arial" w:cs="Arial"/>
          <w:i/>
          <w:iCs/>
        </w:rPr>
        <w:t>ravage</w:t>
      </w:r>
      <w:proofErr w:type="spellEnd"/>
      <w:r>
        <w:rPr>
          <w:rFonts w:ascii="Arial" w:hAnsi="Arial" w:cs="Arial"/>
          <w:i/>
          <w:iCs/>
        </w:rPr>
        <w:t xml:space="preserve">. </w:t>
      </w:r>
    </w:p>
    <w:p w14:paraId="19160112" w14:textId="77777777" w:rsidR="00FF0E83" w:rsidRDefault="00FF0E83" w:rsidP="00FF0E83">
      <w:pPr>
        <w:spacing w:line="360" w:lineRule="auto"/>
        <w:ind w:firstLine="708"/>
        <w:mirrorIndents/>
        <w:jc w:val="both"/>
        <w:rPr>
          <w:rFonts w:ascii="Arial" w:hAnsi="Arial" w:cs="Arial"/>
        </w:rPr>
      </w:pPr>
      <w:r w:rsidRPr="00EA03F4">
        <w:rPr>
          <w:rFonts w:ascii="Arial" w:hAnsi="Arial" w:cs="Arial"/>
        </w:rPr>
        <w:t>Irigara</w:t>
      </w:r>
      <w:r>
        <w:rPr>
          <w:rFonts w:ascii="Arial" w:hAnsi="Arial" w:cs="Arial"/>
        </w:rPr>
        <w:t>y (1978; 1992; 1994)</w:t>
      </w:r>
      <w:r w:rsidRPr="00EA03F4">
        <w:rPr>
          <w:rFonts w:ascii="Arial" w:hAnsi="Arial" w:cs="Arial"/>
        </w:rPr>
        <w:t xml:space="preserve"> aborda este asunto desde otra arista, </w:t>
      </w:r>
      <w:r>
        <w:rPr>
          <w:rFonts w:ascii="Arial" w:hAnsi="Arial" w:cs="Arial"/>
        </w:rPr>
        <w:t xml:space="preserve">incorporando el lente sociocultural a la discusión. La autora argumenta que, en sociedades patriarcales, la genealogía de madres e hijas se organiza bajo la forma de sometimiento a la filiación masculina </w:t>
      </w:r>
      <w:r>
        <w:rPr>
          <w:rFonts w:ascii="Arial" w:hAnsi="Arial" w:cs="Arial"/>
        </w:rPr>
        <w:fldChar w:fldCharType="begin"/>
      </w:r>
      <w:r>
        <w:rPr>
          <w:rFonts w:ascii="Arial" w:hAnsi="Arial" w:cs="Arial"/>
        </w:rPr>
        <w:instrText xml:space="preserve"> ADDIN ZOTERO_ITEM CSL_CITATION {"citationID":"nTcDE2I0","properties":{"formattedCitation":"(Irigaray, 1992)","plainCitation":"(Irigaray, 1992)","noteIndex":0},"citationItems":[{"id":46,"uris":["http://zotero.org/users/12025499/items/GCW5TFDA"],"itemData":{"id":46,"type":"book","event-place":"Madrid","publisher":"Cátedra","publisher-place":"Madrid","title":"Yo, tú, nosotras","author":[{"family":"Irigaray","given":"Luce"}],"translator":[{"family":"Linares","given":"Pepa"}],"issued":{"date-parts":[["1992"]]}}}],"schema":"https://github.com/citation-style-language/schema/raw/master/csl-citation.json"} </w:instrText>
      </w:r>
      <w:r>
        <w:rPr>
          <w:rFonts w:ascii="Arial" w:hAnsi="Arial" w:cs="Arial"/>
        </w:rPr>
        <w:fldChar w:fldCharType="separate"/>
      </w:r>
      <w:r w:rsidRPr="00A93366">
        <w:rPr>
          <w:rFonts w:ascii="Arial" w:hAnsi="Arial" w:cs="Arial"/>
        </w:rPr>
        <w:t>(Irigaray, 1992)</w:t>
      </w:r>
      <w:r>
        <w:rPr>
          <w:rFonts w:ascii="Arial" w:hAnsi="Arial" w:cs="Arial"/>
        </w:rPr>
        <w:fldChar w:fldCharType="end"/>
      </w:r>
      <w:r>
        <w:rPr>
          <w:rFonts w:ascii="Arial" w:hAnsi="Arial" w:cs="Arial"/>
        </w:rPr>
        <w:t xml:space="preserve">, es decir, el vínculo femenino carece de simbolización, pues está privado de representaciones en todos los planos </w:t>
      </w:r>
      <w:r>
        <w:rPr>
          <w:rFonts w:ascii="Arial" w:hAnsi="Arial" w:cs="Arial"/>
        </w:rPr>
        <w:fldChar w:fldCharType="begin"/>
      </w:r>
      <w:r>
        <w:rPr>
          <w:rFonts w:ascii="Arial" w:hAnsi="Arial" w:cs="Arial"/>
        </w:rPr>
        <w:instrText xml:space="preserve"> ADDIN ZOTERO_ITEM CSL_CITATION {"citationID":"uPLEvYfi","properties":{"formattedCitation":"(Irigaray, 1978)","plainCitation":"(Irigaray, 1978)","noteIndex":0},"citationItems":[{"id":50,"uris":["http://zotero.org/users/12025499/items/KM6ARM3E"],"itemData":{"id":50,"type":"book","event-place":"Madrid","publisher":"Saltés","publisher-place":"Madrid","title":"Espéculo de la otra mujer","author":[{"family":"Irigaray","given":"Luce"}],"issued":{"date-parts":[["1978"]]}}}],"schema":"https://github.com/citation-style-language/schema/raw/master/csl-citation.json"} </w:instrText>
      </w:r>
      <w:r>
        <w:rPr>
          <w:rFonts w:ascii="Arial" w:hAnsi="Arial" w:cs="Arial"/>
        </w:rPr>
        <w:fldChar w:fldCharType="separate"/>
      </w:r>
      <w:r w:rsidRPr="00457966">
        <w:rPr>
          <w:rFonts w:ascii="Arial" w:hAnsi="Arial" w:cs="Arial"/>
        </w:rPr>
        <w:t>(Irigaray, 1978)</w:t>
      </w:r>
      <w:r>
        <w:rPr>
          <w:rFonts w:ascii="Arial" w:hAnsi="Arial" w:cs="Arial"/>
        </w:rPr>
        <w:fldChar w:fldCharType="end"/>
      </w:r>
      <w:r>
        <w:rPr>
          <w:rFonts w:ascii="Arial" w:hAnsi="Arial" w:cs="Arial"/>
        </w:rPr>
        <w:t>.</w:t>
      </w:r>
    </w:p>
    <w:p w14:paraId="7C33D9A4" w14:textId="77777777" w:rsidR="00FF0E83" w:rsidRPr="00EA03F4" w:rsidRDefault="00FF0E83" w:rsidP="00FF0E83">
      <w:pPr>
        <w:spacing w:line="360" w:lineRule="auto"/>
        <w:ind w:firstLine="708"/>
        <w:mirrorIndents/>
        <w:jc w:val="both"/>
        <w:rPr>
          <w:rFonts w:ascii="Arial" w:hAnsi="Arial" w:cs="Arial"/>
        </w:rPr>
      </w:pPr>
      <w:r>
        <w:rPr>
          <w:rFonts w:ascii="Arial" w:hAnsi="Arial" w:cs="Arial"/>
        </w:rPr>
        <w:t xml:space="preserve">Lo anterior, responde a la tesis de que todo lo que se desenvuelve en nuestra sociedad y cultura tiene a la base un matricidio, un asesinato de la mujer-madre que, según la autora, fue ignorado por Freud al desarrollar el mito de la horda primitiva </w:t>
      </w:r>
      <w:r>
        <w:rPr>
          <w:rFonts w:ascii="Arial" w:hAnsi="Arial" w:cs="Arial"/>
        </w:rPr>
        <w:fldChar w:fldCharType="begin"/>
      </w:r>
      <w:r>
        <w:rPr>
          <w:rFonts w:ascii="Arial" w:hAnsi="Arial" w:cs="Arial"/>
        </w:rPr>
        <w:instrText xml:space="preserve"> ADDIN ZOTERO_ITEM CSL_CITATION {"citationID":"lLvPsgX7","properties":{"formattedCitation":"(Irigaray, 1994)","plainCitation":"(Irigaray, 1994)","noteIndex":0},"citationItems":[{"id":40,"uris":["http://zotero.org/users/12025499/items/TFMX99YB"],"itemData":{"id":40,"type":"article-journal","abstract":"El cuerpo a cuerpo con la madre","container-title":"Debate Feminista","DOI":"10.22201/cieg.2594066xe.1994.10.1793","ISSN":"2594-066X, 0188-9478","journalAbbreviation":"df","language":"es","page":"32-44","source":"DOI.org (Crossref)","title":"El cuerpo a cuerpo con la madre","volume":"10","author":[{"family":"Irigaray","given":"Luce"}],"issued":{"date-parts":[["1994",9,1]]}}}],"schema":"https://github.com/citation-style-language/schema/raw/master/csl-citation.json"} </w:instrText>
      </w:r>
      <w:r>
        <w:rPr>
          <w:rFonts w:ascii="Arial" w:hAnsi="Arial" w:cs="Arial"/>
        </w:rPr>
        <w:fldChar w:fldCharType="separate"/>
      </w:r>
      <w:r w:rsidRPr="00704768">
        <w:rPr>
          <w:rFonts w:ascii="Arial" w:hAnsi="Arial" w:cs="Arial"/>
        </w:rPr>
        <w:t>(Irigaray, 1994)</w:t>
      </w:r>
      <w:r>
        <w:rPr>
          <w:rFonts w:ascii="Arial" w:hAnsi="Arial" w:cs="Arial"/>
        </w:rPr>
        <w:fldChar w:fldCharType="end"/>
      </w:r>
      <w:r>
        <w:rPr>
          <w:rFonts w:ascii="Arial" w:hAnsi="Arial" w:cs="Arial"/>
        </w:rPr>
        <w:t>. Es en este punto donde Irigaray (1994) ubica la dificultad de la transmisión entre madre e hija, que más allá de ser una cuestión propia del vínculo, tiene su raíz en la organización patrilineal de lo social, que impide la simbolización y representación de lo que implica ser una mujer.</w:t>
      </w:r>
      <w:r w:rsidRPr="00EA03F4">
        <w:rPr>
          <w:rFonts w:ascii="Arial" w:hAnsi="Arial" w:cs="Arial"/>
        </w:rPr>
        <w:t xml:space="preserve"> Para la autora, se hace necesario encontrar otra sintaxis para nombrar la relación a la madre “un lenguaje que no sustituya al cuerpo a cuerpo, como lo hace la lengua paterna, sino que lo acompañe” (Irigaray, 19</w:t>
      </w:r>
      <w:r>
        <w:rPr>
          <w:rFonts w:ascii="Arial" w:hAnsi="Arial" w:cs="Arial"/>
        </w:rPr>
        <w:t>94</w:t>
      </w:r>
      <w:r w:rsidRPr="00EA03F4">
        <w:rPr>
          <w:rFonts w:ascii="Arial" w:hAnsi="Arial" w:cs="Arial"/>
        </w:rPr>
        <w:t xml:space="preserve">, p. 41), de lo contrario, no es posible constituir una identidad femenina. </w:t>
      </w:r>
    </w:p>
    <w:p w14:paraId="6C315B11" w14:textId="77777777" w:rsidR="00FF0E83" w:rsidRPr="00EA03F4" w:rsidRDefault="00FF0E83" w:rsidP="00FF0E83">
      <w:pPr>
        <w:spacing w:line="360" w:lineRule="auto"/>
        <w:ind w:firstLine="708"/>
        <w:mirrorIndents/>
        <w:jc w:val="both"/>
        <w:rPr>
          <w:rFonts w:ascii="Arial" w:hAnsi="Arial" w:cs="Arial"/>
        </w:rPr>
      </w:pPr>
      <w:r>
        <w:rPr>
          <w:rFonts w:ascii="Arial" w:hAnsi="Arial" w:cs="Arial"/>
        </w:rPr>
        <w:t>A este respecto, en base a los recorridos teóricos revisados</w:t>
      </w:r>
      <w:r w:rsidRPr="00EA03F4">
        <w:rPr>
          <w:rFonts w:ascii="Arial" w:hAnsi="Arial" w:cs="Arial"/>
        </w:rPr>
        <w:t xml:space="preserve">, se establece la imposibilidad de la transmisión de lo femenino. Si acogemos la </w:t>
      </w:r>
      <w:r>
        <w:rPr>
          <w:rFonts w:ascii="Arial" w:hAnsi="Arial" w:cs="Arial"/>
        </w:rPr>
        <w:t>tesis que comparten</w:t>
      </w:r>
      <w:r w:rsidRPr="00EA03F4">
        <w:rPr>
          <w:rFonts w:ascii="Arial" w:hAnsi="Arial" w:cs="Arial"/>
        </w:rPr>
        <w:t xml:space="preserve"> Irigaray (19</w:t>
      </w:r>
      <w:r>
        <w:rPr>
          <w:rFonts w:ascii="Arial" w:hAnsi="Arial" w:cs="Arial"/>
        </w:rPr>
        <w:t>94</w:t>
      </w:r>
      <w:r w:rsidRPr="00EA03F4">
        <w:rPr>
          <w:rFonts w:ascii="Arial" w:hAnsi="Arial" w:cs="Arial"/>
        </w:rPr>
        <w:t xml:space="preserve">) y Kristeva (1987) sobre </w:t>
      </w:r>
      <w:r>
        <w:rPr>
          <w:rFonts w:ascii="Arial" w:hAnsi="Arial" w:cs="Arial"/>
        </w:rPr>
        <w:t>el binomio</w:t>
      </w:r>
      <w:r w:rsidRPr="00EA03F4">
        <w:rPr>
          <w:rFonts w:ascii="Arial" w:hAnsi="Arial" w:cs="Arial"/>
        </w:rPr>
        <w:t xml:space="preserve"> indisociable </w:t>
      </w:r>
      <w:r>
        <w:rPr>
          <w:rFonts w:ascii="Arial" w:hAnsi="Arial" w:cs="Arial"/>
        </w:rPr>
        <w:t>entre</w:t>
      </w:r>
      <w:r w:rsidRPr="00EA03F4">
        <w:rPr>
          <w:rFonts w:ascii="Arial" w:hAnsi="Arial" w:cs="Arial"/>
        </w:rPr>
        <w:t xml:space="preserve"> la maternidad y la feminidad, entonces, lo materno también sería intransmisible, encontrándose en un lugar sin representación y sin memoria.</w:t>
      </w:r>
    </w:p>
    <w:p w14:paraId="3C7F89FF" w14:textId="77777777" w:rsidR="00FF0E83" w:rsidRPr="00F06A51" w:rsidRDefault="00FF0E83" w:rsidP="00FF0E83">
      <w:pPr>
        <w:pStyle w:val="Prrafodelista"/>
        <w:numPr>
          <w:ilvl w:val="0"/>
          <w:numId w:val="5"/>
        </w:numPr>
        <w:spacing w:line="360" w:lineRule="auto"/>
        <w:mirrorIndents/>
        <w:jc w:val="both"/>
        <w:rPr>
          <w:rFonts w:ascii="Arial" w:hAnsi="Arial" w:cs="Arial"/>
          <w:b/>
          <w:bCs/>
        </w:rPr>
      </w:pPr>
      <w:r w:rsidRPr="00F06A51">
        <w:rPr>
          <w:rFonts w:ascii="Arial" w:hAnsi="Arial" w:cs="Arial"/>
          <w:b/>
          <w:bCs/>
        </w:rPr>
        <w:lastRenderedPageBreak/>
        <w:t xml:space="preserve">Efecto madre y </w:t>
      </w:r>
      <w:r>
        <w:rPr>
          <w:rFonts w:ascii="Arial" w:hAnsi="Arial" w:cs="Arial"/>
          <w:b/>
          <w:bCs/>
        </w:rPr>
        <w:t>relación</w:t>
      </w:r>
      <w:r w:rsidRPr="00F06A51">
        <w:rPr>
          <w:rFonts w:ascii="Arial" w:hAnsi="Arial" w:cs="Arial"/>
          <w:b/>
          <w:bCs/>
        </w:rPr>
        <w:t>: Una transmisión posible</w:t>
      </w:r>
    </w:p>
    <w:p w14:paraId="03DDC7FE" w14:textId="77777777" w:rsidR="00FF0E83" w:rsidRDefault="00FF0E83" w:rsidP="00FF0E83">
      <w:pPr>
        <w:spacing w:line="360" w:lineRule="auto"/>
        <w:ind w:firstLine="708"/>
        <w:mirrorIndents/>
        <w:jc w:val="both"/>
        <w:rPr>
          <w:rFonts w:ascii="Arial" w:hAnsi="Arial" w:cs="Arial"/>
        </w:rPr>
      </w:pPr>
      <w:r w:rsidRPr="00794728">
        <w:rPr>
          <w:rFonts w:ascii="Arial" w:hAnsi="Arial" w:cs="Arial"/>
        </w:rPr>
        <w:t xml:space="preserve">Dominique </w:t>
      </w:r>
      <w:proofErr w:type="spellStart"/>
      <w:r w:rsidRPr="00794728">
        <w:rPr>
          <w:rFonts w:ascii="Arial" w:hAnsi="Arial" w:cs="Arial"/>
        </w:rPr>
        <w:t>Guyomard</w:t>
      </w:r>
      <w:proofErr w:type="spellEnd"/>
      <w:r w:rsidRPr="00794728">
        <w:rPr>
          <w:rFonts w:ascii="Arial" w:hAnsi="Arial" w:cs="Arial"/>
        </w:rPr>
        <w:t xml:space="preserve"> (2013) en su obra </w:t>
      </w:r>
      <w:r w:rsidRPr="00794728">
        <w:rPr>
          <w:rFonts w:ascii="Arial" w:hAnsi="Arial" w:cs="Arial"/>
          <w:i/>
          <w:iCs/>
        </w:rPr>
        <w:t xml:space="preserve">Nace una madre: del vínculo a la relación </w:t>
      </w:r>
      <w:r w:rsidRPr="00794728">
        <w:rPr>
          <w:rFonts w:ascii="Arial" w:hAnsi="Arial" w:cs="Arial"/>
        </w:rPr>
        <w:t>se aproxima al problema de la transmisión, introduciendo el concepto del efecto-madre y la teorización sobre el vínculo. La hipótesis es que existe “una especificidad pulsional que actúa en lo materno como registro particular de una transmisión de lo femenino” (</w:t>
      </w:r>
      <w:proofErr w:type="spellStart"/>
      <w:r w:rsidRPr="00794728">
        <w:rPr>
          <w:rFonts w:ascii="Arial" w:hAnsi="Arial" w:cs="Arial"/>
        </w:rPr>
        <w:t>Guyomard</w:t>
      </w:r>
      <w:proofErr w:type="spellEnd"/>
      <w:r w:rsidRPr="00794728">
        <w:rPr>
          <w:rFonts w:ascii="Arial" w:hAnsi="Arial" w:cs="Arial"/>
        </w:rPr>
        <w:t>, 2013, p.4)</w:t>
      </w:r>
      <w:r>
        <w:rPr>
          <w:rFonts w:ascii="Arial" w:hAnsi="Arial" w:cs="Arial"/>
        </w:rPr>
        <w:t xml:space="preserve">. Según la autora, es en la relación madre e hija en referencia a un registro materno que se crea un femenino posible de transmitir. </w:t>
      </w:r>
    </w:p>
    <w:p w14:paraId="6E4E1245" w14:textId="77777777" w:rsidR="00FF0E83" w:rsidRDefault="00FF0E83" w:rsidP="00FF0E83">
      <w:pPr>
        <w:spacing w:line="360" w:lineRule="auto"/>
        <w:ind w:firstLine="708"/>
        <w:mirrorIndents/>
        <w:jc w:val="both"/>
        <w:rPr>
          <w:rFonts w:ascii="Arial" w:hAnsi="Arial" w:cs="Arial"/>
        </w:rPr>
      </w:pPr>
      <w:r>
        <w:rPr>
          <w:rFonts w:ascii="Arial" w:hAnsi="Arial" w:cs="Arial"/>
        </w:rPr>
        <w:t xml:space="preserve">Ahora bien, conceptualmente </w:t>
      </w:r>
      <w:proofErr w:type="spellStart"/>
      <w:r>
        <w:rPr>
          <w:rFonts w:ascii="Arial" w:hAnsi="Arial" w:cs="Arial"/>
        </w:rPr>
        <w:t>Guyomard</w:t>
      </w:r>
      <w:proofErr w:type="spellEnd"/>
      <w:r>
        <w:rPr>
          <w:rFonts w:ascii="Arial" w:hAnsi="Arial" w:cs="Arial"/>
        </w:rPr>
        <w:t xml:space="preserve"> (2013) hace una diferenciación entre relación y vínculo. Este último es anterior a la relación, estableciéndose por el efecto-madre, que </w:t>
      </w:r>
      <w:r w:rsidRPr="00794728">
        <w:rPr>
          <w:rFonts w:ascii="Arial" w:hAnsi="Arial" w:cs="Arial"/>
        </w:rPr>
        <w:t>es un momento de intercambio libidinal y pulsional entre madre e hijo</w:t>
      </w:r>
      <w:r>
        <w:rPr>
          <w:rFonts w:ascii="Arial" w:hAnsi="Arial" w:cs="Arial"/>
        </w:rPr>
        <w:t xml:space="preserve"> </w:t>
      </w:r>
      <w:r w:rsidRPr="00794728">
        <w:rPr>
          <w:rFonts w:ascii="Arial" w:hAnsi="Arial" w:cs="Arial"/>
        </w:rPr>
        <w:t>y es también una condición para que se asiente la identificación (</w:t>
      </w:r>
      <w:proofErr w:type="spellStart"/>
      <w:r w:rsidRPr="00794728">
        <w:rPr>
          <w:rFonts w:ascii="Arial" w:hAnsi="Arial" w:cs="Arial"/>
        </w:rPr>
        <w:t>Guyomard</w:t>
      </w:r>
      <w:proofErr w:type="spellEnd"/>
      <w:r w:rsidRPr="00794728">
        <w:rPr>
          <w:rFonts w:ascii="Arial" w:hAnsi="Arial" w:cs="Arial"/>
        </w:rPr>
        <w:t>, 2013).</w:t>
      </w:r>
      <w:r>
        <w:rPr>
          <w:rFonts w:ascii="Arial" w:hAnsi="Arial" w:cs="Arial"/>
        </w:rPr>
        <w:t xml:space="preserve"> Es así como el vínculo edificado por el efecto-madre resulta “</w:t>
      </w:r>
      <w:proofErr w:type="spellStart"/>
      <w:r>
        <w:rPr>
          <w:rFonts w:ascii="Arial" w:hAnsi="Arial" w:cs="Arial"/>
        </w:rPr>
        <w:t>narcisisante</w:t>
      </w:r>
      <w:proofErr w:type="spellEnd"/>
      <w:r>
        <w:rPr>
          <w:rFonts w:ascii="Arial" w:hAnsi="Arial" w:cs="Arial"/>
        </w:rPr>
        <w:t xml:space="preserve">”, donde el placer y su erotización tienen lugar, condición necesaria pero transitoria, pues el vínculo </w:t>
      </w:r>
      <w:r w:rsidRPr="00794728">
        <w:rPr>
          <w:rFonts w:ascii="Arial" w:hAnsi="Arial" w:cs="Arial"/>
        </w:rPr>
        <w:t>debe ser efímero para devenir estructurante, es decir, opera y desaparece para inscribirse como nostalgia, abriendo paso a la relación (</w:t>
      </w:r>
      <w:proofErr w:type="spellStart"/>
      <w:r w:rsidRPr="00794728">
        <w:rPr>
          <w:rFonts w:ascii="Arial" w:hAnsi="Arial" w:cs="Arial"/>
        </w:rPr>
        <w:t>Guyomard</w:t>
      </w:r>
      <w:proofErr w:type="spellEnd"/>
      <w:r w:rsidRPr="00794728">
        <w:rPr>
          <w:rFonts w:ascii="Arial" w:hAnsi="Arial" w:cs="Arial"/>
        </w:rPr>
        <w:t xml:space="preserve">, 2013). </w:t>
      </w:r>
      <w:r>
        <w:rPr>
          <w:rFonts w:ascii="Arial" w:hAnsi="Arial" w:cs="Arial"/>
        </w:rPr>
        <w:t>Así, el vínculo se configura como un encuentro fundamental para la vida, que, sin embargo, debe ser momentáneo para no devenir mortífero, de lo contrario</w:t>
      </w:r>
      <w:r w:rsidRPr="00794728">
        <w:rPr>
          <w:rFonts w:ascii="Arial" w:hAnsi="Arial" w:cs="Arial"/>
        </w:rPr>
        <w:t>, madre e hij</w:t>
      </w:r>
      <w:r>
        <w:rPr>
          <w:rFonts w:ascii="Arial" w:hAnsi="Arial" w:cs="Arial"/>
        </w:rPr>
        <w:t>a</w:t>
      </w:r>
      <w:r w:rsidRPr="00794728">
        <w:rPr>
          <w:rFonts w:ascii="Arial" w:hAnsi="Arial" w:cs="Arial"/>
        </w:rPr>
        <w:t xml:space="preserve"> quedarían atrapad</w:t>
      </w:r>
      <w:r>
        <w:rPr>
          <w:rFonts w:ascii="Arial" w:hAnsi="Arial" w:cs="Arial"/>
        </w:rPr>
        <w:t>a</w:t>
      </w:r>
      <w:r w:rsidRPr="00794728">
        <w:rPr>
          <w:rFonts w:ascii="Arial" w:hAnsi="Arial" w:cs="Arial"/>
        </w:rPr>
        <w:t xml:space="preserve">s en “lo mismo”, sin separación. </w:t>
      </w:r>
    </w:p>
    <w:p w14:paraId="441FC758" w14:textId="77777777" w:rsidR="00FF0E83" w:rsidRDefault="00FF0E83" w:rsidP="00FF0E83">
      <w:pPr>
        <w:spacing w:line="360" w:lineRule="auto"/>
        <w:mirrorIndents/>
        <w:jc w:val="both"/>
        <w:rPr>
          <w:rFonts w:ascii="Arial" w:hAnsi="Arial" w:cs="Arial"/>
        </w:rPr>
      </w:pPr>
      <w:r w:rsidRPr="00794728">
        <w:rPr>
          <w:rFonts w:ascii="Arial" w:hAnsi="Arial" w:cs="Arial"/>
        </w:rPr>
        <w:tab/>
        <w:t xml:space="preserve">La apertura a la </w:t>
      </w:r>
      <w:proofErr w:type="gramStart"/>
      <w:r w:rsidRPr="00794728">
        <w:rPr>
          <w:rFonts w:ascii="Arial" w:hAnsi="Arial" w:cs="Arial"/>
        </w:rPr>
        <w:t>relación,</w:t>
      </w:r>
      <w:proofErr w:type="gramEnd"/>
      <w:r w:rsidRPr="00794728">
        <w:rPr>
          <w:rFonts w:ascii="Arial" w:hAnsi="Arial" w:cs="Arial"/>
        </w:rPr>
        <w:t xml:space="preserve"> es una transformación que tiene como consecuencia el establecimiento de un objeto separado, es decir, se reconoce a la madre como otro</w:t>
      </w:r>
      <w:r>
        <w:rPr>
          <w:rFonts w:ascii="Arial" w:hAnsi="Arial" w:cs="Arial"/>
        </w:rPr>
        <w:t xml:space="preserve"> y se abre paso a la alteridad, una alteridad de lo mismo (</w:t>
      </w:r>
      <w:proofErr w:type="spellStart"/>
      <w:r>
        <w:rPr>
          <w:rFonts w:ascii="Arial" w:hAnsi="Arial" w:cs="Arial"/>
        </w:rPr>
        <w:t>Guyomard</w:t>
      </w:r>
      <w:proofErr w:type="spellEnd"/>
      <w:r>
        <w:rPr>
          <w:rFonts w:ascii="Arial" w:hAnsi="Arial" w:cs="Arial"/>
        </w:rPr>
        <w:t xml:space="preserve">, 2013). Por supuesto, el vínculo y lo materno no desaparecen, sino que se inscribe como una memoria, en palabras de la autora: </w:t>
      </w:r>
    </w:p>
    <w:p w14:paraId="122F5290" w14:textId="77777777" w:rsidR="00FF0E83" w:rsidRDefault="00FF0E83" w:rsidP="00FF0E83">
      <w:pPr>
        <w:spacing w:line="360" w:lineRule="auto"/>
        <w:ind w:left="709"/>
        <w:mirrorIndents/>
        <w:jc w:val="both"/>
        <w:rPr>
          <w:rFonts w:ascii="Arial" w:hAnsi="Arial" w:cs="Arial"/>
        </w:rPr>
      </w:pPr>
      <w:r w:rsidRPr="00A84024">
        <w:rPr>
          <w:rFonts w:ascii="Arial" w:hAnsi="Arial" w:cs="Arial"/>
        </w:rPr>
        <w:t>Su inexistencia</w:t>
      </w:r>
      <w:r>
        <w:rPr>
          <w:rFonts w:ascii="Arial" w:hAnsi="Arial" w:cs="Arial"/>
        </w:rPr>
        <w:t xml:space="preserve"> [la del vínculo]</w:t>
      </w:r>
      <w:r w:rsidRPr="00A84024">
        <w:rPr>
          <w:rFonts w:ascii="Arial" w:hAnsi="Arial" w:cs="Arial"/>
        </w:rPr>
        <w:t xml:space="preserve"> es destructiva, y su derrota es la condición de su marca. Esta marca</w:t>
      </w:r>
      <w:r>
        <w:rPr>
          <w:rFonts w:ascii="Arial" w:hAnsi="Arial" w:cs="Arial"/>
        </w:rPr>
        <w:t xml:space="preserve"> </w:t>
      </w:r>
      <w:r w:rsidRPr="00A84024">
        <w:rPr>
          <w:rFonts w:ascii="Arial" w:hAnsi="Arial" w:cs="Arial"/>
        </w:rPr>
        <w:t>estructura en la filiación la posibilidad de una transmisión de lo femenino</w:t>
      </w:r>
      <w:r>
        <w:rPr>
          <w:rFonts w:ascii="Arial" w:hAnsi="Arial" w:cs="Arial"/>
        </w:rPr>
        <w:t xml:space="preserve"> (…) </w:t>
      </w:r>
      <w:r w:rsidRPr="00A84024">
        <w:rPr>
          <w:rFonts w:ascii="Arial" w:hAnsi="Arial" w:cs="Arial"/>
        </w:rPr>
        <w:t xml:space="preserve">Por lo tanto, se trata de abandonar esta modalidad </w:t>
      </w:r>
      <w:proofErr w:type="spellStart"/>
      <w:r w:rsidRPr="00A84024">
        <w:rPr>
          <w:rFonts w:ascii="Arial" w:hAnsi="Arial" w:cs="Arial"/>
        </w:rPr>
        <w:t>na</w:t>
      </w:r>
      <w:r>
        <w:rPr>
          <w:rFonts w:ascii="Arial" w:hAnsi="Arial" w:cs="Arial"/>
        </w:rPr>
        <w:t>r</w:t>
      </w:r>
      <w:r w:rsidRPr="00A84024">
        <w:rPr>
          <w:rFonts w:ascii="Arial" w:hAnsi="Arial" w:cs="Arial"/>
        </w:rPr>
        <w:t>císica</w:t>
      </w:r>
      <w:proofErr w:type="spellEnd"/>
      <w:r w:rsidRPr="00A84024">
        <w:rPr>
          <w:rFonts w:ascii="Arial" w:hAnsi="Arial" w:cs="Arial"/>
        </w:rPr>
        <w:t xml:space="preserve"> para que su</w:t>
      </w:r>
      <w:r>
        <w:rPr>
          <w:rFonts w:ascii="Arial" w:hAnsi="Arial" w:cs="Arial"/>
        </w:rPr>
        <w:t xml:space="preserve"> </w:t>
      </w:r>
      <w:r w:rsidRPr="00A84024">
        <w:rPr>
          <w:rFonts w:ascii="Arial" w:hAnsi="Arial" w:cs="Arial"/>
        </w:rPr>
        <w:t>marca permita recuperarla como memoria</w:t>
      </w:r>
      <w:r>
        <w:rPr>
          <w:rFonts w:ascii="Arial" w:hAnsi="Arial" w:cs="Arial"/>
        </w:rPr>
        <w:t xml:space="preserve"> (p. 64)</w:t>
      </w:r>
    </w:p>
    <w:p w14:paraId="3C7F1EC0" w14:textId="77777777" w:rsidR="00FF0E83" w:rsidRDefault="00FF0E83" w:rsidP="00FF0E83">
      <w:pPr>
        <w:spacing w:line="360" w:lineRule="auto"/>
        <w:mirrorIndents/>
        <w:jc w:val="both"/>
        <w:rPr>
          <w:rFonts w:ascii="Arial" w:hAnsi="Arial" w:cs="Arial"/>
        </w:rPr>
      </w:pPr>
      <w:r>
        <w:rPr>
          <w:rFonts w:ascii="Arial" w:hAnsi="Arial" w:cs="Arial"/>
        </w:rPr>
        <w:tab/>
        <w:t>Es en este punto donde se abre una puerta a la transmisión entre madre e hija, en la marca que deja inscrita un vínculo borrado, un registro de lo materno, es esta operación la que permite configurar una memoria transmisible (</w:t>
      </w:r>
      <w:proofErr w:type="spellStart"/>
      <w:r>
        <w:rPr>
          <w:rFonts w:ascii="Arial" w:hAnsi="Arial" w:cs="Arial"/>
        </w:rPr>
        <w:t>Guyomard</w:t>
      </w:r>
      <w:proofErr w:type="spellEnd"/>
      <w:r>
        <w:rPr>
          <w:rFonts w:ascii="Arial" w:hAnsi="Arial" w:cs="Arial"/>
        </w:rPr>
        <w:t xml:space="preserve">, 2013). En la especificidad de la organización psíquica de la mujer, se trata de subjetivar esta organización pulsional a </w:t>
      </w:r>
      <w:r>
        <w:rPr>
          <w:rFonts w:ascii="Arial" w:hAnsi="Arial" w:cs="Arial"/>
        </w:rPr>
        <w:lastRenderedPageBreak/>
        <w:t xml:space="preserve">la que está del algún </w:t>
      </w:r>
      <w:proofErr w:type="gramStart"/>
      <w:r>
        <w:rPr>
          <w:rFonts w:ascii="Arial" w:hAnsi="Arial" w:cs="Arial"/>
        </w:rPr>
        <w:t>modo amarrada</w:t>
      </w:r>
      <w:proofErr w:type="gramEnd"/>
      <w:r>
        <w:rPr>
          <w:rFonts w:ascii="Arial" w:hAnsi="Arial" w:cs="Arial"/>
        </w:rPr>
        <w:t xml:space="preserve">, pues lo femenino está enraizado en el registro de lo materno. </w:t>
      </w:r>
    </w:p>
    <w:p w14:paraId="73CB8DAE" w14:textId="77777777" w:rsidR="00FF0E83" w:rsidRDefault="00FF0E83" w:rsidP="00FF0E83">
      <w:pPr>
        <w:spacing w:line="360" w:lineRule="auto"/>
        <w:mirrorIndents/>
        <w:jc w:val="both"/>
        <w:rPr>
          <w:rFonts w:ascii="Arial" w:hAnsi="Arial" w:cs="Arial"/>
        </w:rPr>
      </w:pPr>
      <w:r>
        <w:rPr>
          <w:rFonts w:ascii="Arial" w:hAnsi="Arial" w:cs="Arial"/>
        </w:rPr>
        <w:tab/>
        <w:t xml:space="preserve">El registro de lo materno y el vínculo </w:t>
      </w:r>
      <w:proofErr w:type="spellStart"/>
      <w:r>
        <w:rPr>
          <w:rFonts w:ascii="Arial" w:hAnsi="Arial" w:cs="Arial"/>
        </w:rPr>
        <w:t>narcisisante</w:t>
      </w:r>
      <w:proofErr w:type="spellEnd"/>
      <w:r>
        <w:rPr>
          <w:rFonts w:ascii="Arial" w:hAnsi="Arial" w:cs="Arial"/>
        </w:rPr>
        <w:t xml:space="preserve">, entonces, queda alojado en una memoria inconsciente y su pérdida deja una huella de la que no se tiene noticia hasta ciertos momentos particulares. Una de estas instancias es la experiencia de maternidad de quien ya fue hija, en específico, </w:t>
      </w:r>
      <w:proofErr w:type="spellStart"/>
      <w:r>
        <w:rPr>
          <w:rFonts w:ascii="Arial" w:hAnsi="Arial" w:cs="Arial"/>
        </w:rPr>
        <w:t>Guyomard</w:t>
      </w:r>
      <w:proofErr w:type="spellEnd"/>
      <w:r>
        <w:rPr>
          <w:rFonts w:ascii="Arial" w:hAnsi="Arial" w:cs="Arial"/>
        </w:rPr>
        <w:t xml:space="preserve"> (2013) plantea que hay algo que se reactualiza y reaparece en el fenómeno traumático de dar a luz. </w:t>
      </w:r>
      <w:r w:rsidRPr="00794728">
        <w:rPr>
          <w:rFonts w:ascii="Arial" w:hAnsi="Arial" w:cs="Arial"/>
        </w:rPr>
        <w:t xml:space="preserve">Aquí se vive un fuera de tiempo, un encuentro con un cuerpo extraño, es la confrontación del hijo imaginario -que la madre esperaba- con lo real de </w:t>
      </w:r>
      <w:r>
        <w:rPr>
          <w:rFonts w:ascii="Arial" w:hAnsi="Arial" w:cs="Arial"/>
        </w:rPr>
        <w:t>parir</w:t>
      </w:r>
      <w:r w:rsidRPr="00794728">
        <w:rPr>
          <w:rFonts w:ascii="Arial" w:hAnsi="Arial" w:cs="Arial"/>
        </w:rPr>
        <w:t>. En el parto, la madre se ve enfrentada a la memoria olvidada de ese vínculo bajo la forma de la pérdida, la huella se recupera y se experimenta. La entrada al vínculo es posterior al efecto traumático del parto, significa un encuentro: “con una madre, la madre de este hijo y el hijo de esta madre” (</w:t>
      </w:r>
      <w:proofErr w:type="spellStart"/>
      <w:r w:rsidRPr="00794728">
        <w:rPr>
          <w:rFonts w:ascii="Arial" w:hAnsi="Arial" w:cs="Arial"/>
        </w:rPr>
        <w:t>Guyomard</w:t>
      </w:r>
      <w:proofErr w:type="spellEnd"/>
      <w:r w:rsidRPr="00794728">
        <w:rPr>
          <w:rFonts w:ascii="Arial" w:hAnsi="Arial" w:cs="Arial"/>
        </w:rPr>
        <w:t>, 2013, p. 8), algo así como una actualización de una genealogía que ha inscrito memoria</w:t>
      </w:r>
      <w:r>
        <w:rPr>
          <w:rFonts w:ascii="Arial" w:hAnsi="Arial" w:cs="Arial"/>
        </w:rPr>
        <w:t xml:space="preserve"> y que se ha transmitido entre madre e hija. </w:t>
      </w:r>
    </w:p>
    <w:p w14:paraId="6307358F" w14:textId="77777777" w:rsidR="00FF0E83" w:rsidRDefault="00FF0E83" w:rsidP="00FF0E83">
      <w:pPr>
        <w:spacing w:line="360" w:lineRule="auto"/>
        <w:mirrorIndents/>
        <w:jc w:val="both"/>
        <w:rPr>
          <w:rFonts w:ascii="Arial" w:hAnsi="Arial" w:cs="Arial"/>
        </w:rPr>
      </w:pPr>
      <w:r>
        <w:rPr>
          <w:rFonts w:ascii="Arial" w:hAnsi="Arial" w:cs="Arial"/>
        </w:rPr>
        <w:tab/>
        <w:t xml:space="preserve">Hasta este punto, se ha hecho un recorrido por los aportes de estas autoras en torno al fenómeno específico del vínculo madre-hija, con un acento en la discusión sobre la transmisión de lo femenino. En lo que sí hay acuerdo, es en la cualidad </w:t>
      </w:r>
      <w:proofErr w:type="spellStart"/>
      <w:r>
        <w:rPr>
          <w:rFonts w:ascii="Arial" w:hAnsi="Arial" w:cs="Arial"/>
        </w:rPr>
        <w:t>estragante</w:t>
      </w:r>
      <w:proofErr w:type="spellEnd"/>
      <w:r>
        <w:rPr>
          <w:rFonts w:ascii="Arial" w:hAnsi="Arial" w:cs="Arial"/>
        </w:rPr>
        <w:t xml:space="preserve">, devastadora y mortífera que puede llegar a tener la dinámica que envuelve la relación entre madres e hijas, que también tiene consecuencias en vínculos futuros, pues “en toda relación pasional se encuentra la sombra de la madre” </w:t>
      </w:r>
      <w:r>
        <w:rPr>
          <w:rFonts w:ascii="Arial" w:hAnsi="Arial" w:cs="Arial"/>
        </w:rPr>
        <w:fldChar w:fldCharType="begin"/>
      </w:r>
      <w:r>
        <w:rPr>
          <w:rFonts w:ascii="Arial" w:hAnsi="Arial" w:cs="Arial"/>
        </w:rPr>
        <w:instrText xml:space="preserve"> ADDIN ZOTERO_ITEM CSL_CITATION {"citationID":"QAw6O8Gy","properties":{"formattedCitation":"(Kristeva, Collin, &amp; Lamas, 1991, p. 138)","plainCitation":"(Kristeva, Collin, &amp; Lamas, 1991, p. 138)","noteIndex":0},"citationItems":[{"id":52,"uris":["http://zotero.org/users/12025499/items/T52A3AC6"],"itemData":{"id":52,"type":"article-magazine","container-title":"Debate Feminista","language":"es","page":"137-154","source":"Zotero","title":"Sobre el amor: conversación con Julia Kristeva","volume":"4","author":[{"family":"Kristeva","given":"Julia"},{"family":"Collin","given":"Françoise"},{"family":"Lamas","given":"Marta Encabo","dropping-particle":"de"}],"issued":{"date-parts":[["1991"]]}},"locator":"138","label":"page"}],"schema":"https://github.com/citation-style-language/schema/raw/master/csl-citation.json"} </w:instrText>
      </w:r>
      <w:r>
        <w:rPr>
          <w:rFonts w:ascii="Arial" w:hAnsi="Arial" w:cs="Arial"/>
        </w:rPr>
        <w:fldChar w:fldCharType="separate"/>
      </w:r>
      <w:r w:rsidRPr="004B6B92">
        <w:rPr>
          <w:rFonts w:ascii="Arial" w:hAnsi="Arial" w:cs="Arial"/>
        </w:rPr>
        <w:t>(Kristeva, Collin, &amp; Lamas, 1991, p. 138)</w:t>
      </w:r>
      <w:r>
        <w:rPr>
          <w:rFonts w:ascii="Arial" w:hAnsi="Arial" w:cs="Arial"/>
        </w:rPr>
        <w:fldChar w:fldCharType="end"/>
      </w:r>
      <w:r>
        <w:rPr>
          <w:rFonts w:ascii="Arial" w:hAnsi="Arial" w:cs="Arial"/>
        </w:rPr>
        <w:tab/>
        <w:t>.</w:t>
      </w:r>
    </w:p>
    <w:p w14:paraId="269E97C7" w14:textId="77777777" w:rsidR="00FF0E83" w:rsidRDefault="00FF0E83" w:rsidP="00FF0E83">
      <w:pPr>
        <w:spacing w:line="360" w:lineRule="auto"/>
        <w:mirrorIndents/>
        <w:jc w:val="both"/>
        <w:rPr>
          <w:rFonts w:ascii="Arial" w:hAnsi="Arial" w:cs="Arial"/>
          <w:b/>
          <w:bCs/>
        </w:rPr>
      </w:pPr>
      <w:r>
        <w:rPr>
          <w:rFonts w:ascii="Arial" w:hAnsi="Arial" w:cs="Arial"/>
          <w:b/>
          <w:bCs/>
        </w:rPr>
        <w:t>El campo de la adopción</w:t>
      </w:r>
    </w:p>
    <w:p w14:paraId="2D316531" w14:textId="77777777" w:rsidR="00FF0E83" w:rsidRDefault="00FF0E83" w:rsidP="00FF0E83">
      <w:pPr>
        <w:spacing w:line="360" w:lineRule="auto"/>
        <w:ind w:firstLine="708"/>
        <w:mirrorIndents/>
        <w:jc w:val="both"/>
        <w:rPr>
          <w:rFonts w:ascii="Arial" w:hAnsi="Arial" w:cs="Arial"/>
        </w:rPr>
      </w:pPr>
      <w:r w:rsidRPr="009655E0">
        <w:rPr>
          <w:rFonts w:ascii="Arial" w:hAnsi="Arial" w:cs="Arial"/>
        </w:rPr>
        <w:t xml:space="preserve">Para efectos de </w:t>
      </w:r>
      <w:r>
        <w:rPr>
          <w:rFonts w:ascii="Arial" w:hAnsi="Arial" w:cs="Arial"/>
        </w:rPr>
        <w:t>este escrito</w:t>
      </w:r>
      <w:r w:rsidRPr="009655E0">
        <w:rPr>
          <w:rFonts w:ascii="Arial" w:hAnsi="Arial" w:cs="Arial"/>
        </w:rPr>
        <w:t xml:space="preserve">, </w:t>
      </w:r>
      <w:r>
        <w:rPr>
          <w:rFonts w:ascii="Arial" w:hAnsi="Arial" w:cs="Arial"/>
        </w:rPr>
        <w:t>será de interés llevar el terreno de lo materno y la relación madre e hija</w:t>
      </w:r>
      <w:r>
        <w:rPr>
          <w:rFonts w:ascii="Arial" w:hAnsi="Arial" w:cs="Arial"/>
          <w:i/>
          <w:iCs/>
        </w:rPr>
        <w:t xml:space="preserve"> </w:t>
      </w:r>
      <w:r>
        <w:rPr>
          <w:rFonts w:ascii="Arial" w:hAnsi="Arial" w:cs="Arial"/>
        </w:rPr>
        <w:t xml:space="preserve">a contextos de desarrollo que no resultan ser los tradicionales, este ejercicio se realizará en referencia al campo de la adopción. Preliminarmente, cabe destacar que las aproximaciones que se utilizarán en la exploración de esta </w:t>
      </w:r>
      <w:proofErr w:type="gramStart"/>
      <w:r>
        <w:rPr>
          <w:rFonts w:ascii="Arial" w:hAnsi="Arial" w:cs="Arial"/>
        </w:rPr>
        <w:t>temática,</w:t>
      </w:r>
      <w:proofErr w:type="gramEnd"/>
      <w:r>
        <w:rPr>
          <w:rFonts w:ascii="Arial" w:hAnsi="Arial" w:cs="Arial"/>
        </w:rPr>
        <w:t xml:space="preserve"> son pensamientos que emanan de la experiencia clínica y que, en consonancia con ello, priorizan el estudio de la subjetividad como punto de partida a la introducción en las problemáticas específicas que traen consigo la adopción. </w:t>
      </w:r>
    </w:p>
    <w:p w14:paraId="5B03CF9B" w14:textId="77777777" w:rsidR="00FF0E83" w:rsidRDefault="00FF0E83" w:rsidP="00FF0E83">
      <w:pPr>
        <w:pStyle w:val="Prrafodelista"/>
        <w:numPr>
          <w:ilvl w:val="0"/>
          <w:numId w:val="6"/>
        </w:numPr>
        <w:spacing w:line="360" w:lineRule="auto"/>
        <w:mirrorIndents/>
        <w:jc w:val="both"/>
        <w:rPr>
          <w:rFonts w:ascii="Arial" w:hAnsi="Arial" w:cs="Arial"/>
          <w:b/>
          <w:bCs/>
        </w:rPr>
      </w:pPr>
      <w:r>
        <w:rPr>
          <w:rFonts w:ascii="Arial" w:hAnsi="Arial" w:cs="Arial"/>
          <w:b/>
          <w:bCs/>
        </w:rPr>
        <w:t xml:space="preserve">Mito de los orígenes y novela familiar </w:t>
      </w:r>
    </w:p>
    <w:p w14:paraId="3C406019" w14:textId="77777777" w:rsidR="00FF0E83" w:rsidRDefault="00FF0E83" w:rsidP="00FF0E83">
      <w:pPr>
        <w:spacing w:line="360" w:lineRule="auto"/>
        <w:ind w:firstLine="360"/>
        <w:mirrorIndents/>
        <w:jc w:val="both"/>
        <w:rPr>
          <w:rFonts w:ascii="Arial" w:hAnsi="Arial" w:cs="Arial"/>
        </w:rPr>
      </w:pPr>
      <w:r>
        <w:rPr>
          <w:rFonts w:ascii="Arial" w:hAnsi="Arial" w:cs="Arial"/>
        </w:rPr>
        <w:t xml:space="preserve">Una posible vía de ingreso a este </w:t>
      </w:r>
      <w:proofErr w:type="gramStart"/>
      <w:r>
        <w:rPr>
          <w:rFonts w:ascii="Arial" w:hAnsi="Arial" w:cs="Arial"/>
        </w:rPr>
        <w:t>campo,</w:t>
      </w:r>
      <w:proofErr w:type="gramEnd"/>
      <w:r>
        <w:rPr>
          <w:rFonts w:ascii="Arial" w:hAnsi="Arial" w:cs="Arial"/>
        </w:rPr>
        <w:t xml:space="preserve"> es la temática trabajada al inicio de esta sección: la pregunta por el origen y el estatuto de los padres para el niño y niña. </w:t>
      </w:r>
    </w:p>
    <w:p w14:paraId="0CB3836A" w14:textId="77777777" w:rsidR="00FF0E83" w:rsidRDefault="00FF0E83" w:rsidP="00FF0E83">
      <w:pPr>
        <w:spacing w:line="360" w:lineRule="auto"/>
        <w:ind w:firstLine="360"/>
        <w:mirrorIndents/>
        <w:jc w:val="both"/>
        <w:rPr>
          <w:rFonts w:ascii="Arial" w:hAnsi="Arial" w:cs="Arial"/>
        </w:rPr>
      </w:pPr>
      <w:r>
        <w:rPr>
          <w:rFonts w:ascii="Arial" w:hAnsi="Arial" w:cs="Arial"/>
        </w:rPr>
        <w:lastRenderedPageBreak/>
        <w:t xml:space="preserve">Podríamos destacar un punto relevante de aquello en la tragedia griega que inspiró uno de los vértices temáticos más importantes dentro del desarrollo psicoanalítico: Edipo Rey. Si bien existen diversas interpretaciones y reflexiones suscitadas a propósito de ella, para efectos de esta sección interesa mover el enfoque hacia la historia de Edipo y la incesante búsqueda de sus orígenes. </w:t>
      </w:r>
    </w:p>
    <w:p w14:paraId="5DC5354D" w14:textId="77777777" w:rsidR="00FF0E83" w:rsidRDefault="00FF0E83" w:rsidP="00FF0E83">
      <w:pPr>
        <w:spacing w:line="360" w:lineRule="auto"/>
        <w:ind w:firstLine="360"/>
        <w:mirrorIndents/>
        <w:jc w:val="both"/>
        <w:rPr>
          <w:rFonts w:ascii="Arial" w:hAnsi="Arial" w:cs="Arial"/>
        </w:rPr>
      </w:pPr>
      <w:r>
        <w:rPr>
          <w:rFonts w:ascii="Arial" w:hAnsi="Arial" w:cs="Arial"/>
        </w:rPr>
        <w:t xml:space="preserve">Si atendemos únicamente a la historia familiar de Edipo, sabemos que fue criado por los reyes de Corinto, Mérope y Pólibo, quienes no podían concebir, pero deseaban hacerlo. Deciden cuidar y adoptar a Edipo como su hijo, luego de ser encontrado por un pastor colgado de los pies en el monte. La historia relata que, desde su adolescencia, el niño escuchaba rumores sobre su nacimiento, de hecho, es esto lo que le motiva a consultar al oráculo y recibe la conocida sentencia: matarás a tu padre y te casarás con tu madre, profecía que finalmente se cumple. </w:t>
      </w:r>
    </w:p>
    <w:p w14:paraId="719AA2DC" w14:textId="77777777" w:rsidR="00FF0E83" w:rsidRDefault="00FF0E83" w:rsidP="00FF0E83">
      <w:pPr>
        <w:spacing w:line="360" w:lineRule="auto"/>
        <w:ind w:left="284"/>
        <w:mirrorIndents/>
        <w:jc w:val="both"/>
        <w:rPr>
          <w:rFonts w:ascii="Arial" w:hAnsi="Arial" w:cs="Arial"/>
          <w:kern w:val="0"/>
        </w:rPr>
      </w:pPr>
      <w:proofErr w:type="gramStart"/>
      <w:r w:rsidRPr="0091251E">
        <w:rPr>
          <w:rFonts w:ascii="Arial" w:hAnsi="Arial" w:cs="Arial"/>
          <w:kern w:val="0"/>
        </w:rPr>
        <w:t>EDIPO .</w:t>
      </w:r>
      <w:proofErr w:type="gramEnd"/>
      <w:r w:rsidRPr="0091251E">
        <w:rPr>
          <w:rFonts w:ascii="Arial" w:hAnsi="Arial" w:cs="Arial"/>
          <w:kern w:val="0"/>
        </w:rPr>
        <w:t xml:space="preserve">—¡Que haga saltar lo que quiera! Pero yo continuaré en mi deseo de conocer mi estirpe por humilde que sea. Ésa, quizá, pues tiene ideas de grandeza como mujer que es, se avergüenza de mi nefasta estirpe. En </w:t>
      </w:r>
      <w:proofErr w:type="gramStart"/>
      <w:r w:rsidRPr="0091251E">
        <w:rPr>
          <w:rFonts w:ascii="Arial" w:hAnsi="Arial" w:cs="Arial"/>
          <w:kern w:val="0"/>
        </w:rPr>
        <w:t>cambio</w:t>
      </w:r>
      <w:proofErr w:type="gramEnd"/>
      <w:r w:rsidRPr="0091251E">
        <w:rPr>
          <w:rFonts w:ascii="Arial" w:hAnsi="Arial" w:cs="Arial"/>
          <w:kern w:val="0"/>
        </w:rPr>
        <w:t xml:space="preserve"> yo, aunque me señale a mí mismo hijo de la </w:t>
      </w:r>
      <w:r>
        <w:rPr>
          <w:rFonts w:ascii="Arial" w:hAnsi="Arial" w:cs="Arial"/>
          <w:kern w:val="0"/>
        </w:rPr>
        <w:t>f</w:t>
      </w:r>
      <w:r w:rsidRPr="0091251E">
        <w:rPr>
          <w:rFonts w:ascii="Arial" w:hAnsi="Arial" w:cs="Arial"/>
          <w:kern w:val="0"/>
        </w:rPr>
        <w:t xml:space="preserve">ortuna que reparte bienes, no sufriré merma alguna en mi honor. Pues soy hijo de </w:t>
      </w:r>
      <w:proofErr w:type="gramStart"/>
      <w:r w:rsidRPr="0091251E">
        <w:rPr>
          <w:rFonts w:ascii="Arial" w:hAnsi="Arial" w:cs="Arial"/>
          <w:kern w:val="0"/>
        </w:rPr>
        <w:t>ésa</w:t>
      </w:r>
      <w:proofErr w:type="gramEnd"/>
      <w:r w:rsidRPr="0091251E">
        <w:rPr>
          <w:rFonts w:ascii="Arial" w:hAnsi="Arial" w:cs="Arial"/>
          <w:kern w:val="0"/>
        </w:rPr>
        <w:t xml:space="preserve"> madre y, a su vez, los meses, mis parientes, me determinaron insignificante e importante. Y cuando he nacido así, ya no resultaría nunca otro, como para no informarme de mi linaje (pp. 245-246)</w:t>
      </w:r>
    </w:p>
    <w:p w14:paraId="5466D499" w14:textId="77777777" w:rsidR="00FF0E83" w:rsidRDefault="00FF0E83" w:rsidP="00FF0E83">
      <w:pPr>
        <w:spacing w:line="360" w:lineRule="auto"/>
        <w:ind w:firstLine="284"/>
        <w:mirrorIndents/>
        <w:jc w:val="both"/>
        <w:rPr>
          <w:rFonts w:ascii="Arial" w:hAnsi="Arial" w:cs="Arial"/>
          <w:kern w:val="0"/>
        </w:rPr>
      </w:pPr>
      <w:r>
        <w:rPr>
          <w:rFonts w:ascii="Arial" w:hAnsi="Arial" w:cs="Arial"/>
          <w:kern w:val="0"/>
        </w:rPr>
        <w:t xml:space="preserve">Edipo enuncia estas palabras ante la negativa de su esposa, Yocasta, de que él indagara en su linaje por el temor a que perteneciera a una casta menor. Esto luego de enterarse de que Pólibo había muerto y recibir la noticia de que no es realmente quien le dio el nacimiento. Aquí comienza a desanudarse la verdad sobre su origen, pregunta que se sostiene y que, de hecho, es uno de los motivos del desarrollo de la historia, de principio a fin. </w:t>
      </w:r>
    </w:p>
    <w:p w14:paraId="07F6C308" w14:textId="77777777" w:rsidR="00FF0E83" w:rsidRPr="009F1D5E" w:rsidRDefault="00FF0E83" w:rsidP="00FF0E83">
      <w:pPr>
        <w:spacing w:line="360" w:lineRule="auto"/>
        <w:ind w:firstLine="284"/>
        <w:mirrorIndents/>
        <w:jc w:val="both"/>
        <w:rPr>
          <w:rFonts w:ascii="Arial" w:hAnsi="Arial" w:cs="Arial"/>
          <w:kern w:val="0"/>
        </w:rPr>
      </w:pPr>
      <w:r>
        <w:rPr>
          <w:rFonts w:ascii="Arial" w:hAnsi="Arial" w:cs="Arial"/>
          <w:kern w:val="0"/>
        </w:rPr>
        <w:t>Podríamos preguntarnos: ¿Tuvo Edipo la fantasía universal neurótica que postula Freud (1908/1979)? ¿Pudo elaborar su novela familiar siendo un niño adoptado? En el campo de la adopción, hay autores que apuntan ciertas dificultades en su producción.</w:t>
      </w:r>
    </w:p>
    <w:p w14:paraId="20A4CE65" w14:textId="77777777" w:rsidR="00FF0E83" w:rsidRDefault="00FF0E83" w:rsidP="00FF0E83">
      <w:pPr>
        <w:spacing w:line="360" w:lineRule="auto"/>
        <w:ind w:firstLine="284"/>
        <w:mirrorIndents/>
        <w:jc w:val="both"/>
        <w:rPr>
          <w:rFonts w:ascii="Arial" w:hAnsi="Arial" w:cs="Arial"/>
        </w:rPr>
      </w:pPr>
      <w:r>
        <w:rPr>
          <w:rFonts w:ascii="Arial" w:hAnsi="Arial" w:cs="Arial"/>
        </w:rPr>
        <w:t xml:space="preserve">De acuerdo a </w:t>
      </w:r>
      <w:proofErr w:type="spellStart"/>
      <w:r>
        <w:rPr>
          <w:rFonts w:ascii="Arial" w:hAnsi="Arial" w:cs="Arial"/>
        </w:rPr>
        <w:t>Giberti</w:t>
      </w:r>
      <w:proofErr w:type="spellEnd"/>
      <w:r>
        <w:rPr>
          <w:rFonts w:ascii="Arial" w:hAnsi="Arial" w:cs="Arial"/>
        </w:rPr>
        <w:t xml:space="preserve"> </w:t>
      </w:r>
      <w:r>
        <w:rPr>
          <w:rFonts w:ascii="Arial" w:hAnsi="Arial" w:cs="Arial"/>
        </w:rPr>
        <w:fldChar w:fldCharType="begin"/>
      </w:r>
      <w:r>
        <w:rPr>
          <w:rFonts w:ascii="Arial" w:hAnsi="Arial" w:cs="Arial"/>
        </w:rPr>
        <w:instrText xml:space="preserve"> ADDIN ZOTERO_ITEM CSL_CITATION {"citationID":"Puv15AWe","properties":{"formattedCitation":"(2001)","plainCitation":"(2001)","noteIndex":0},"citationItems":[{"id":53,"uris":["http://zotero.org/users/12025499/items/2WEMDF35"],"itemData":{"id":53,"type":"chapter","container-title":"Adopción para padres","event-place":"Buenos Aires","publisher":"Lumen","publisher-place":"Buenos Aires","title":"Mito y novela familiar","container-author":[{"family":"Giberti","given":"Eva"}],"author":[{"family":"Giberti","given":"Eva"}],"issued":{"date-parts":[["2001"]]}},"label":"page","suppress-author":true}],"schema":"https://github.com/citation-style-language/schema/raw/master/csl-citation.json"} </w:instrText>
      </w:r>
      <w:r>
        <w:rPr>
          <w:rFonts w:ascii="Arial" w:hAnsi="Arial" w:cs="Arial"/>
        </w:rPr>
        <w:fldChar w:fldCharType="separate"/>
      </w:r>
      <w:r w:rsidRPr="003C343D">
        <w:rPr>
          <w:rFonts w:ascii="Arial" w:hAnsi="Arial" w:cs="Arial"/>
        </w:rPr>
        <w:t>(2001)</w:t>
      </w:r>
      <w:r>
        <w:rPr>
          <w:rFonts w:ascii="Arial" w:hAnsi="Arial" w:cs="Arial"/>
        </w:rPr>
        <w:fldChar w:fldCharType="end"/>
      </w:r>
      <w:r>
        <w:rPr>
          <w:rFonts w:ascii="Arial" w:hAnsi="Arial" w:cs="Arial"/>
        </w:rPr>
        <w:t xml:space="preserve">, la elaboración de la novela sirve al fin de “compaginar nuestro origen de acuerdo con nuestras necesidades, deseos y predilecciones” (p. 83), acomodándola en base a las propias expectativas. </w:t>
      </w:r>
    </w:p>
    <w:p w14:paraId="6D8EACEA" w14:textId="77777777" w:rsidR="00FF0E83" w:rsidRDefault="00FF0E83" w:rsidP="00FF0E83">
      <w:pPr>
        <w:spacing w:line="360" w:lineRule="auto"/>
        <w:ind w:firstLine="426"/>
        <w:mirrorIndents/>
        <w:jc w:val="both"/>
        <w:rPr>
          <w:rFonts w:ascii="Arial" w:hAnsi="Arial" w:cs="Arial"/>
        </w:rPr>
      </w:pPr>
      <w:r>
        <w:rPr>
          <w:rFonts w:ascii="Arial" w:hAnsi="Arial" w:cs="Arial"/>
        </w:rPr>
        <w:lastRenderedPageBreak/>
        <w:t>La autora incorpora a la invención de la novela un elemento que la precede: el mito (</w:t>
      </w:r>
      <w:proofErr w:type="spellStart"/>
      <w:r>
        <w:rPr>
          <w:rFonts w:ascii="Arial" w:hAnsi="Arial" w:cs="Arial"/>
        </w:rPr>
        <w:t>Giberti</w:t>
      </w:r>
      <w:proofErr w:type="spellEnd"/>
      <w:r>
        <w:rPr>
          <w:rFonts w:ascii="Arial" w:hAnsi="Arial" w:cs="Arial"/>
        </w:rPr>
        <w:t>, 2001). Este refiere al relato del momento inicial del encuentro entre el niño y la niña con sus padres e incluso va más atrás, a una prehistoria de la reunión entre padre y madre. Se trata de una historia sobre cómo y dónde empezó la propia vida, que posteriormente será parte de la novela familiar.</w:t>
      </w:r>
    </w:p>
    <w:p w14:paraId="158C7E01" w14:textId="77777777" w:rsidR="00FF0E83" w:rsidRDefault="00FF0E83" w:rsidP="00FF0E83">
      <w:pPr>
        <w:spacing w:line="360" w:lineRule="auto"/>
        <w:ind w:firstLine="426"/>
        <w:mirrorIndents/>
        <w:jc w:val="both"/>
        <w:rPr>
          <w:rFonts w:ascii="Arial" w:hAnsi="Arial" w:cs="Arial"/>
        </w:rPr>
      </w:pPr>
      <w:r>
        <w:rPr>
          <w:rFonts w:ascii="Arial" w:hAnsi="Arial" w:cs="Arial"/>
        </w:rPr>
        <w:t>Es preciso señalar que nos hallamos en el terreno de la fantasía, donde el mito se construye en base a mociones inconscientes y sentimientos actuales, sin replicar lo que efectivamente ocurrió, más bien se crea una nueva realidad que se compagina con los mitos transmitidos por genealogías familiares anteriores que, posteriormente, aportarán a la construcción de la propia novela familiar (</w:t>
      </w:r>
      <w:proofErr w:type="spellStart"/>
      <w:r>
        <w:rPr>
          <w:rFonts w:ascii="Arial" w:hAnsi="Arial" w:cs="Arial"/>
        </w:rPr>
        <w:t>Giberti</w:t>
      </w:r>
      <w:proofErr w:type="spellEnd"/>
      <w:r>
        <w:rPr>
          <w:rFonts w:ascii="Arial" w:hAnsi="Arial" w:cs="Arial"/>
        </w:rPr>
        <w:t xml:space="preserve">, 2001). </w:t>
      </w:r>
    </w:p>
    <w:p w14:paraId="49CA9C8B" w14:textId="77777777" w:rsidR="00FF0E83" w:rsidRDefault="00FF0E83" w:rsidP="00FF0E83">
      <w:pPr>
        <w:spacing w:line="360" w:lineRule="auto"/>
        <w:ind w:firstLine="426"/>
        <w:mirrorIndents/>
        <w:jc w:val="both"/>
        <w:rPr>
          <w:rFonts w:ascii="Arial" w:hAnsi="Arial" w:cs="Arial"/>
        </w:rPr>
      </w:pPr>
      <w:r>
        <w:rPr>
          <w:rFonts w:ascii="Arial" w:hAnsi="Arial" w:cs="Arial"/>
        </w:rPr>
        <w:t>Dicho de otro modo, la referencia común a un mito de los orígenes, narrado por un antecesor, permite al sujeto ubicarse en su coordenada generacional, generando así las condiciones para que advenga el sujeto de la filiación (</w:t>
      </w:r>
      <w:proofErr w:type="spellStart"/>
      <w:r>
        <w:rPr>
          <w:rFonts w:ascii="Arial" w:hAnsi="Arial" w:cs="Arial"/>
        </w:rPr>
        <w:t>Käes</w:t>
      </w:r>
      <w:proofErr w:type="spellEnd"/>
      <w:r>
        <w:rPr>
          <w:rFonts w:ascii="Arial" w:hAnsi="Arial" w:cs="Arial"/>
        </w:rPr>
        <w:t>, 2000).</w:t>
      </w:r>
    </w:p>
    <w:p w14:paraId="7CE45277" w14:textId="77777777" w:rsidR="00FF0E83" w:rsidRDefault="00FF0E83" w:rsidP="00FF0E83">
      <w:pPr>
        <w:spacing w:line="360" w:lineRule="auto"/>
        <w:ind w:firstLine="426"/>
        <w:mirrorIndents/>
        <w:jc w:val="both"/>
        <w:rPr>
          <w:rFonts w:ascii="Arial" w:hAnsi="Arial" w:cs="Arial"/>
        </w:rPr>
      </w:pPr>
      <w:r>
        <w:rPr>
          <w:rFonts w:ascii="Arial" w:hAnsi="Arial" w:cs="Arial"/>
        </w:rPr>
        <w:t xml:space="preserve">Según Clara Maya Gallego </w:t>
      </w:r>
      <w:r>
        <w:rPr>
          <w:rFonts w:ascii="Arial" w:hAnsi="Arial" w:cs="Arial"/>
        </w:rPr>
        <w:fldChar w:fldCharType="begin"/>
      </w:r>
      <w:r>
        <w:rPr>
          <w:rFonts w:ascii="Arial" w:hAnsi="Arial" w:cs="Arial"/>
        </w:rPr>
        <w:instrText xml:space="preserve"> ADDIN ZOTERO_ITEM CSL_CITATION {"citationID":"3dns7EdJ","properties":{"formattedCitation":"(2011)","plainCitation":"(2011)","noteIndex":0},"citationItems":[{"id":23,"uris":["http://zotero.org/users/12025499/items/MGS83X6N"],"itemData":{"id":23,"type":"article-journal","container-title":"Psicoanálisis","issue":"2","language":"es","page":"325-334","source":"Zotero","title":"Fantasías de origen en una niña adoptada trabajadas en la transferencia.","volume":"13","author":[{"family":"Maya","given":"Clara"}],"issued":{"date-parts":[["2011"]]}},"label":"page","suppress-author":true}],"schema":"https://github.com/citation-style-language/schema/raw/master/csl-citation.json"} </w:instrText>
      </w:r>
      <w:r>
        <w:rPr>
          <w:rFonts w:ascii="Arial" w:hAnsi="Arial" w:cs="Arial"/>
        </w:rPr>
        <w:fldChar w:fldCharType="separate"/>
      </w:r>
      <w:r w:rsidRPr="00DF4212">
        <w:rPr>
          <w:rFonts w:ascii="Arial" w:hAnsi="Arial" w:cs="Arial"/>
        </w:rPr>
        <w:t>(2011)</w:t>
      </w:r>
      <w:r>
        <w:rPr>
          <w:rFonts w:ascii="Arial" w:hAnsi="Arial" w:cs="Arial"/>
        </w:rPr>
        <w:fldChar w:fldCharType="end"/>
      </w:r>
      <w:r>
        <w:rPr>
          <w:rFonts w:ascii="Arial" w:hAnsi="Arial" w:cs="Arial"/>
        </w:rPr>
        <w:t>, quien llevó el caso de una niña adoptada por 21 años, en los niños y niñas que se desenvuelven en este contexto, antes de poder construir la novela familiar deben enfrentar otras realidades asociadas a la existencia de la familia de origen, que resultan dolorosas y movilizadoras. Así, la identidad del padre y la madre “será la pregunta inicial y a la vez la pregunta de siempre. De acuerdo con las respuestas que a lo largo de su vida se vayan dando, podrán construir diferentes versiones acerca del origen de su vida (Maya, 2011, p. 326)”</w:t>
      </w:r>
    </w:p>
    <w:p w14:paraId="5E3C947E" w14:textId="77777777" w:rsidR="00FF0E83" w:rsidRDefault="00FF0E83" w:rsidP="00FF0E83">
      <w:pPr>
        <w:spacing w:line="360" w:lineRule="auto"/>
        <w:ind w:firstLine="426"/>
        <w:mirrorIndents/>
        <w:jc w:val="both"/>
        <w:rPr>
          <w:rFonts w:ascii="Arial" w:hAnsi="Arial" w:cs="Arial"/>
        </w:rPr>
      </w:pPr>
      <w:r>
        <w:rPr>
          <w:rFonts w:ascii="Arial" w:hAnsi="Arial" w:cs="Arial"/>
        </w:rPr>
        <w:t xml:space="preserve">No obstante, hay autores que afirman que, al menos tempranamente, la novela familiar podría desplegarse como en cualquier otro niño o niña, siempre y cuando los padres actúen con naturalidad al respecto </w:t>
      </w:r>
      <w:r>
        <w:rPr>
          <w:rFonts w:ascii="Arial" w:hAnsi="Arial" w:cs="Arial"/>
        </w:rPr>
        <w:fldChar w:fldCharType="begin"/>
      </w:r>
      <w:r>
        <w:rPr>
          <w:rFonts w:ascii="Arial" w:hAnsi="Arial" w:cs="Arial"/>
        </w:rPr>
        <w:instrText xml:space="preserve"> ADDIN ZOTERO_ITEM CSL_CITATION {"citationID":"vKL49BG8","properties":{"formattedCitation":"(Bregazzi, 2011)","plainCitation":"(Bregazzi, 2011)","noteIndex":0},"citationItems":[{"id":3,"uris":["http://zotero.org/users/12025499/items/PQH2QQMD"],"itemData":{"id":3,"type":"article-journal","container-title":"Psicoanálisis","issue":"2","journalAbbreviation":"Psicoanálisis","language":"es","page":"263-278","source":"Zotero","title":"Padres e hijos adoptivos: sueños, fantasías y novela familiar. Encuentros, desencuentros y transformaciones","volume":"13","author":[{"family":"Bregazzi","given":"Claudia Bregazzi"}],"issued":{"date-parts":[["2011"]]}}}],"schema":"https://github.com/citation-style-language/schema/raw/master/csl-citation.json"} </w:instrText>
      </w:r>
      <w:r>
        <w:rPr>
          <w:rFonts w:ascii="Arial" w:hAnsi="Arial" w:cs="Arial"/>
        </w:rPr>
        <w:fldChar w:fldCharType="separate"/>
      </w:r>
      <w:r w:rsidRPr="00B6164A">
        <w:rPr>
          <w:rFonts w:ascii="Arial" w:hAnsi="Arial" w:cs="Arial"/>
        </w:rPr>
        <w:t>(Bregazzi, 2011)</w:t>
      </w:r>
      <w:r>
        <w:rPr>
          <w:rFonts w:ascii="Arial" w:hAnsi="Arial" w:cs="Arial"/>
        </w:rPr>
        <w:fldChar w:fldCharType="end"/>
      </w:r>
      <w:r>
        <w:rPr>
          <w:rFonts w:ascii="Arial" w:hAnsi="Arial" w:cs="Arial"/>
        </w:rPr>
        <w:t xml:space="preserve">. Las tensiones o incomodidades en el relato sobre el origen que son percibidas por quien escucha es lo que puede resultar </w:t>
      </w:r>
      <w:proofErr w:type="spellStart"/>
      <w:r>
        <w:rPr>
          <w:rFonts w:ascii="Arial" w:hAnsi="Arial" w:cs="Arial"/>
        </w:rPr>
        <w:t>perturbante</w:t>
      </w:r>
      <w:proofErr w:type="spellEnd"/>
      <w:r>
        <w:rPr>
          <w:rFonts w:ascii="Arial" w:hAnsi="Arial" w:cs="Arial"/>
        </w:rPr>
        <w:t xml:space="preserve"> para el hijo o hija, no necesariamente el haber pasado por un proceso de adopción. </w:t>
      </w:r>
    </w:p>
    <w:p w14:paraId="551989F4" w14:textId="77777777" w:rsidR="00FF0E83" w:rsidRDefault="00FF0E83" w:rsidP="00FF0E83">
      <w:pPr>
        <w:spacing w:line="360" w:lineRule="auto"/>
        <w:ind w:firstLine="426"/>
        <w:mirrorIndents/>
        <w:jc w:val="both"/>
        <w:rPr>
          <w:rFonts w:ascii="Arial" w:hAnsi="Arial" w:cs="Arial"/>
        </w:rPr>
      </w:pPr>
      <w:r>
        <w:rPr>
          <w:rFonts w:ascii="Arial" w:hAnsi="Arial" w:cs="Arial"/>
        </w:rPr>
        <w:t xml:space="preserve">Ahora bien, </w:t>
      </w:r>
      <w:proofErr w:type="spellStart"/>
      <w:r>
        <w:rPr>
          <w:rFonts w:ascii="Arial" w:hAnsi="Arial" w:cs="Arial"/>
        </w:rPr>
        <w:t>Giberti</w:t>
      </w:r>
      <w:proofErr w:type="spellEnd"/>
      <w:r>
        <w:rPr>
          <w:rFonts w:ascii="Arial" w:hAnsi="Arial" w:cs="Arial"/>
        </w:rPr>
        <w:t xml:space="preserve"> (2001) aporta una cuestión que resulta relevante. Entendiendo que el mito y la novela familiar implican atender a la historia familiar, </w:t>
      </w:r>
      <w:r w:rsidRPr="00633FE3">
        <w:rPr>
          <w:rFonts w:ascii="Arial" w:hAnsi="Arial" w:cs="Arial"/>
        </w:rPr>
        <w:t>“</w:t>
      </w:r>
      <w:r>
        <w:rPr>
          <w:rFonts w:ascii="Arial" w:hAnsi="Arial" w:cs="Arial"/>
        </w:rPr>
        <w:t>c</w:t>
      </w:r>
      <w:r w:rsidRPr="00633FE3">
        <w:rPr>
          <w:rFonts w:ascii="Arial" w:hAnsi="Arial" w:cs="Arial"/>
        </w:rPr>
        <w:t xml:space="preserve">uando se trata de la familia adoptante, la transmisión transgeneracional deberá inventarse” </w:t>
      </w:r>
      <w:r>
        <w:rPr>
          <w:rFonts w:ascii="Arial" w:hAnsi="Arial" w:cs="Arial"/>
        </w:rPr>
        <w:t>(</w:t>
      </w:r>
      <w:proofErr w:type="spellStart"/>
      <w:r>
        <w:rPr>
          <w:rFonts w:ascii="Arial" w:hAnsi="Arial" w:cs="Arial"/>
        </w:rPr>
        <w:t>Giberti</w:t>
      </w:r>
      <w:proofErr w:type="spellEnd"/>
      <w:r>
        <w:rPr>
          <w:rFonts w:ascii="Arial" w:hAnsi="Arial" w:cs="Arial"/>
        </w:rPr>
        <w:t xml:space="preserve">, 2001, p. 86), pues la hija o hijo adoptivo tiene una ruptura en su genealogía y filiación, referida a la separación de su familia de origen. </w:t>
      </w:r>
    </w:p>
    <w:p w14:paraId="4FCE29DC" w14:textId="77777777" w:rsidR="00FF0E83" w:rsidRPr="007462B1" w:rsidRDefault="00FF0E83" w:rsidP="00FF0E83">
      <w:pPr>
        <w:pStyle w:val="Prrafodelista"/>
        <w:numPr>
          <w:ilvl w:val="0"/>
          <w:numId w:val="6"/>
        </w:numPr>
        <w:spacing w:line="360" w:lineRule="auto"/>
        <w:mirrorIndents/>
        <w:jc w:val="both"/>
        <w:rPr>
          <w:rFonts w:ascii="Arial" w:hAnsi="Arial" w:cs="Arial"/>
        </w:rPr>
      </w:pPr>
      <w:r>
        <w:rPr>
          <w:rFonts w:ascii="Arial" w:hAnsi="Arial" w:cs="Arial"/>
          <w:b/>
          <w:bCs/>
        </w:rPr>
        <w:t>Transmisión e identificación</w:t>
      </w:r>
    </w:p>
    <w:p w14:paraId="3328BD0E" w14:textId="77777777" w:rsidR="00FF0E83" w:rsidRDefault="00FF0E83" w:rsidP="00FF0E83">
      <w:pPr>
        <w:spacing w:line="360" w:lineRule="auto"/>
        <w:ind w:firstLine="567"/>
        <w:mirrorIndents/>
        <w:jc w:val="both"/>
        <w:rPr>
          <w:rFonts w:ascii="Arial" w:hAnsi="Arial" w:cs="Arial"/>
        </w:rPr>
      </w:pPr>
      <w:r>
        <w:rPr>
          <w:rFonts w:ascii="Arial" w:hAnsi="Arial" w:cs="Arial"/>
        </w:rPr>
        <w:lastRenderedPageBreak/>
        <w:t xml:space="preserve">Si adoptamos la tesis de </w:t>
      </w:r>
      <w:proofErr w:type="spellStart"/>
      <w:r>
        <w:rPr>
          <w:rFonts w:ascii="Arial" w:hAnsi="Arial" w:cs="Arial"/>
        </w:rPr>
        <w:t>Giberti</w:t>
      </w:r>
      <w:proofErr w:type="spellEnd"/>
      <w:r>
        <w:rPr>
          <w:rFonts w:ascii="Arial" w:hAnsi="Arial" w:cs="Arial"/>
        </w:rPr>
        <w:t xml:space="preserve"> (2001), podríamos decir entonces que, en el contexto de la adopción, las posibilidades de advenir como sujeto de la filiación (</w:t>
      </w:r>
      <w:proofErr w:type="spellStart"/>
      <w:r>
        <w:rPr>
          <w:rFonts w:ascii="Arial" w:hAnsi="Arial" w:cs="Arial"/>
        </w:rPr>
        <w:t>Käes</w:t>
      </w:r>
      <w:proofErr w:type="spellEnd"/>
      <w:r>
        <w:rPr>
          <w:rFonts w:ascii="Arial" w:hAnsi="Arial" w:cs="Arial"/>
        </w:rPr>
        <w:t xml:space="preserve">, 2000) se ven truncadas y, con ello, su instalación en una historia generacional y una transmisión posible. </w:t>
      </w:r>
    </w:p>
    <w:p w14:paraId="3CE99DA6" w14:textId="77777777" w:rsidR="00FF0E83" w:rsidRDefault="00FF0E83" w:rsidP="00FF0E83">
      <w:pPr>
        <w:spacing w:line="360" w:lineRule="auto"/>
        <w:ind w:firstLine="567"/>
        <w:mirrorIndents/>
        <w:jc w:val="both"/>
        <w:rPr>
          <w:rFonts w:ascii="Arial" w:hAnsi="Arial" w:cs="Arial"/>
        </w:rPr>
      </w:pPr>
      <w:r>
        <w:rPr>
          <w:rFonts w:ascii="Arial" w:hAnsi="Arial" w:cs="Arial"/>
        </w:rPr>
        <w:t xml:space="preserve">Autores coinciden que la transmisión se asienta como una necesidad inconsciente, un imperativo psíquico y un deseo fundacional sujetado a la pulsión de vida y autoconservación (Gomel, 1997; </w:t>
      </w:r>
      <w:proofErr w:type="spellStart"/>
      <w:r>
        <w:rPr>
          <w:rFonts w:ascii="Arial" w:hAnsi="Arial" w:cs="Arial"/>
        </w:rPr>
        <w:t>Käes</w:t>
      </w:r>
      <w:proofErr w:type="spellEnd"/>
      <w:r>
        <w:rPr>
          <w:rFonts w:ascii="Arial" w:hAnsi="Arial" w:cs="Arial"/>
        </w:rPr>
        <w:t xml:space="preserve">, 2000; Le Run, 2017). </w:t>
      </w:r>
    </w:p>
    <w:p w14:paraId="6951C1CB" w14:textId="77777777" w:rsidR="00FF0E83" w:rsidRDefault="00FF0E83" w:rsidP="00FF0E83">
      <w:pPr>
        <w:spacing w:line="360" w:lineRule="auto"/>
        <w:ind w:firstLine="567"/>
        <w:mirrorIndents/>
        <w:jc w:val="both"/>
        <w:rPr>
          <w:rFonts w:ascii="Arial" w:hAnsi="Arial" w:cs="Arial"/>
        </w:rPr>
      </w:pPr>
      <w:r>
        <w:rPr>
          <w:rFonts w:ascii="Arial" w:hAnsi="Arial" w:cs="Arial"/>
        </w:rPr>
        <w:t xml:space="preserve">El fenómeno de la transmisión -tanto generacional como transgeneracional- y sus implicancias ha sido ampliamente investigado en el terreno de la psicología y el psicoanálisis, sin embargo, para efectos de esta sección, interesará particularmente lo que ocurre en la familia, entre padres, madres, hijos e hijas, en un esfuerzo por pensar qué ocurre cuando de adopción se trata. </w:t>
      </w:r>
    </w:p>
    <w:p w14:paraId="00847672" w14:textId="77777777" w:rsidR="00FF0E83" w:rsidRDefault="00FF0E83" w:rsidP="00FF0E83">
      <w:pPr>
        <w:pStyle w:val="Default"/>
        <w:spacing w:line="360" w:lineRule="auto"/>
        <w:ind w:firstLine="567"/>
        <w:jc w:val="both"/>
        <w:rPr>
          <w:sz w:val="22"/>
          <w:szCs w:val="22"/>
        </w:rPr>
      </w:pPr>
      <w:r w:rsidRPr="00804B9E">
        <w:rPr>
          <w:sz w:val="22"/>
          <w:szCs w:val="22"/>
        </w:rPr>
        <w:t xml:space="preserve">El seno familiar es </w:t>
      </w:r>
      <w:r>
        <w:rPr>
          <w:sz w:val="22"/>
          <w:szCs w:val="22"/>
        </w:rPr>
        <w:t xml:space="preserve">por excelencia </w:t>
      </w:r>
      <w:r w:rsidRPr="00804B9E">
        <w:rPr>
          <w:sz w:val="22"/>
          <w:szCs w:val="22"/>
        </w:rPr>
        <w:t>escenario y fuente de una de las principales vías de la transmisión psíquica: la identificación.</w:t>
      </w:r>
      <w:r w:rsidRPr="0093467F">
        <w:rPr>
          <w:sz w:val="22"/>
          <w:szCs w:val="22"/>
        </w:rPr>
        <w:t xml:space="preserve"> </w:t>
      </w:r>
      <w:r>
        <w:rPr>
          <w:sz w:val="22"/>
          <w:szCs w:val="22"/>
        </w:rPr>
        <w:t>En términos generales, esta operación, consiste en la asimilación de un aspecto de Otro, donde el sujeto se asienta sobre el modelo de este. Así, en la matriz familiar hay una referencia a un Otro -encarnado en los padres- que “otorga lugares, plantea ideales, propone ejes axiológicos con prescripciones y proscripciones, prefigura conflictos” (Nussbaum, p. 155).</w:t>
      </w:r>
    </w:p>
    <w:p w14:paraId="74C0A3E4" w14:textId="081766A5" w:rsidR="00FF0E83" w:rsidRDefault="00FF0E83" w:rsidP="00FF0E83">
      <w:pPr>
        <w:pStyle w:val="Default"/>
        <w:spacing w:line="360" w:lineRule="auto"/>
        <w:ind w:firstLine="567"/>
        <w:jc w:val="both"/>
        <w:rPr>
          <w:sz w:val="22"/>
          <w:szCs w:val="22"/>
        </w:rPr>
      </w:pPr>
      <w:r>
        <w:rPr>
          <w:sz w:val="22"/>
          <w:szCs w:val="22"/>
        </w:rPr>
        <w:t xml:space="preserve">Siguiendo a </w:t>
      </w:r>
      <w:proofErr w:type="spellStart"/>
      <w:r>
        <w:rPr>
          <w:sz w:val="22"/>
          <w:szCs w:val="22"/>
        </w:rPr>
        <w:t>Käes</w:t>
      </w:r>
      <w:proofErr w:type="spellEnd"/>
      <w:r>
        <w:rPr>
          <w:sz w:val="22"/>
          <w:szCs w:val="22"/>
        </w:rPr>
        <w:t>, esta constituye “el proceso capital de la trasmisión” (p. 182)., pues da el pie para que se establezca el contrato narcisista. Este se conforma como un pacto de intercambio entre el sujeto y el grupo familiar y/o social, donde el niño o niña es previamente investido de libido por sus padres, que ocupará el lugar previamente designado, pues “</w:t>
      </w:r>
      <w:r w:rsidRPr="00FC22C1">
        <w:rPr>
          <w:sz w:val="22"/>
          <w:szCs w:val="22"/>
        </w:rPr>
        <w:t>no puede</w:t>
      </w:r>
      <w:r>
        <w:rPr>
          <w:sz w:val="22"/>
          <w:szCs w:val="22"/>
        </w:rPr>
        <w:t xml:space="preserve"> </w:t>
      </w:r>
      <w:r w:rsidRPr="00FC22C1">
        <w:rPr>
          <w:sz w:val="22"/>
          <w:szCs w:val="22"/>
        </w:rPr>
        <w:t>advenir como sujeto más que habiendo sido antes soñado, incestuosamente</w:t>
      </w:r>
      <w:r>
        <w:rPr>
          <w:sz w:val="22"/>
          <w:szCs w:val="22"/>
        </w:rPr>
        <w:t xml:space="preserve">” (p. 126) por estos. Así, el </w:t>
      </w:r>
      <w:proofErr w:type="spellStart"/>
      <w:r w:rsidRPr="00360522">
        <w:rPr>
          <w:i/>
          <w:iCs/>
          <w:sz w:val="22"/>
          <w:szCs w:val="22"/>
        </w:rPr>
        <w:t>infans</w:t>
      </w:r>
      <w:proofErr w:type="spellEnd"/>
      <w:r>
        <w:rPr>
          <w:rStyle w:val="Refdenotaalpie"/>
          <w:sz w:val="22"/>
          <w:szCs w:val="22"/>
        </w:rPr>
        <w:footnoteReference w:id="2"/>
      </w:r>
      <w:r>
        <w:rPr>
          <w:sz w:val="22"/>
          <w:szCs w:val="22"/>
        </w:rPr>
        <w:t xml:space="preserve"> tiene un rol anticipadamente asignado dentro del grupo asociado a asegurar la permanencia del conjunto, que involucra también el posicionar al sujeto en una red de deseos familiares donde actúa como depositario del narcisismo parental. </w:t>
      </w:r>
    </w:p>
    <w:p w14:paraId="1D5C4FAD" w14:textId="5315E865" w:rsidR="00FF0E83" w:rsidRDefault="00FF0E83" w:rsidP="00FF0E83">
      <w:pPr>
        <w:pStyle w:val="Default"/>
        <w:spacing w:line="360" w:lineRule="auto"/>
        <w:ind w:firstLine="567"/>
        <w:jc w:val="both"/>
        <w:rPr>
          <w:sz w:val="22"/>
          <w:szCs w:val="22"/>
        </w:rPr>
      </w:pPr>
      <w:r>
        <w:rPr>
          <w:sz w:val="22"/>
          <w:szCs w:val="22"/>
        </w:rPr>
        <w:t xml:space="preserve">Esto es lo que ocurriría cuando hablamos de una transmisión psíquica ordinaria, que ocurre en una matriz familiar clásica donde la descendencia está marcada por la </w:t>
      </w:r>
      <w:r w:rsidR="001B0503">
        <w:rPr>
          <w:sz w:val="22"/>
          <w:szCs w:val="22"/>
        </w:rPr>
        <w:t xml:space="preserve"> </w:t>
      </w:r>
      <w:proofErr w:type="gramStart"/>
      <w:r w:rsidR="001B0503">
        <w:rPr>
          <w:sz w:val="22"/>
          <w:szCs w:val="22"/>
        </w:rPr>
        <w:t xml:space="preserve">  </w:t>
      </w:r>
      <w:r w:rsidR="00CD5AC3">
        <w:rPr>
          <w:sz w:val="22"/>
          <w:szCs w:val="22"/>
        </w:rPr>
        <w:t>}}</w:t>
      </w:r>
      <w:r>
        <w:rPr>
          <w:sz w:val="22"/>
          <w:szCs w:val="22"/>
        </w:rPr>
        <w:t>reproducción</w:t>
      </w:r>
      <w:proofErr w:type="gramEnd"/>
      <w:r>
        <w:rPr>
          <w:sz w:val="22"/>
          <w:szCs w:val="22"/>
        </w:rPr>
        <w:t xml:space="preserve"> biológica. Al ingresar al campo de la adopción, se despliegan una serie de particularidades propias del contexto. </w:t>
      </w:r>
    </w:p>
    <w:p w14:paraId="796969CC" w14:textId="77777777" w:rsidR="00FF0E83" w:rsidRDefault="00FF0E83" w:rsidP="00FF0E83">
      <w:pPr>
        <w:pStyle w:val="Default"/>
        <w:spacing w:line="360" w:lineRule="auto"/>
        <w:ind w:firstLine="567"/>
        <w:jc w:val="both"/>
        <w:rPr>
          <w:sz w:val="22"/>
          <w:szCs w:val="22"/>
        </w:rPr>
      </w:pPr>
      <w:r>
        <w:rPr>
          <w:sz w:val="22"/>
          <w:szCs w:val="22"/>
        </w:rPr>
        <w:lastRenderedPageBreak/>
        <w:t>Un primer aspecto discernible, es en torno al sueño sobre el hijo o hija de los padres adoptivos, que se articula como estructuralmente paradójico (</w:t>
      </w:r>
      <w:proofErr w:type="spellStart"/>
      <w:r>
        <w:rPr>
          <w:sz w:val="22"/>
          <w:szCs w:val="22"/>
        </w:rPr>
        <w:t>Käes</w:t>
      </w:r>
      <w:proofErr w:type="spellEnd"/>
      <w:r>
        <w:rPr>
          <w:sz w:val="22"/>
          <w:szCs w:val="22"/>
        </w:rPr>
        <w:t xml:space="preserve">, filiación). En la adopción se sueña un </w:t>
      </w:r>
      <w:proofErr w:type="spellStart"/>
      <w:r w:rsidRPr="00360522">
        <w:rPr>
          <w:i/>
          <w:iCs/>
          <w:sz w:val="22"/>
          <w:szCs w:val="22"/>
        </w:rPr>
        <w:t>infans</w:t>
      </w:r>
      <w:proofErr w:type="spellEnd"/>
      <w:r>
        <w:rPr>
          <w:sz w:val="22"/>
          <w:szCs w:val="22"/>
        </w:rPr>
        <w:t xml:space="preserve"> ya inscrito en otra generación y grupo familiar, elaborando la fantasía de una escena originaria donde los nuevos padres están ausentes y excluidos. Así, el hijo o hija queda inscrito en dos lugares, dos sueños y dos mitos, lo que sin duda implica un conflicto psíquico tensionado entre el lugar de origen y el nuevo grupo familiar. Lo anterior, significa un mayor esfuerzo de los padres adoptivos por contener, elaborar y transformar estos cruzamientos que se anudan en el nivel psíquico del niño o niña.</w:t>
      </w:r>
    </w:p>
    <w:p w14:paraId="5C0CC206" w14:textId="77777777" w:rsidR="00FF0E83" w:rsidRDefault="00FF0E83" w:rsidP="00FF0E83">
      <w:pPr>
        <w:pStyle w:val="Default"/>
        <w:spacing w:line="360" w:lineRule="auto"/>
        <w:ind w:firstLine="567"/>
        <w:jc w:val="both"/>
        <w:rPr>
          <w:sz w:val="22"/>
          <w:szCs w:val="22"/>
        </w:rPr>
      </w:pPr>
      <w:r>
        <w:rPr>
          <w:sz w:val="22"/>
          <w:szCs w:val="22"/>
        </w:rPr>
        <w:t xml:space="preserve">Ahora bien, no es solo el niño o niña quien debe transitar estas angustias y malestares, pues gran parte de ellos se alojan, amplifican y tienen su punto de partida en quienes adoptan. </w:t>
      </w:r>
    </w:p>
    <w:p w14:paraId="707C5763" w14:textId="77777777" w:rsidR="00FF0E83" w:rsidRDefault="00FF0E83" w:rsidP="00FF0E83">
      <w:pPr>
        <w:pStyle w:val="Default"/>
        <w:spacing w:line="360" w:lineRule="auto"/>
        <w:ind w:firstLine="567"/>
        <w:jc w:val="both"/>
        <w:rPr>
          <w:sz w:val="22"/>
          <w:szCs w:val="22"/>
        </w:rPr>
      </w:pPr>
      <w:r>
        <w:rPr>
          <w:sz w:val="22"/>
          <w:szCs w:val="22"/>
        </w:rPr>
        <w:t xml:space="preserve">Como se mencionó anteriormente, la transmisión adquiere la forma de un imperativo inconsciente ineludible. En el caso de quienes desean ser padres y no pueden hacerlo mediante la reproducción biológica, tiene lugar una discontinuidad en la genealogía. En palabras de Claudine </w:t>
      </w:r>
      <w:proofErr w:type="spellStart"/>
      <w:r>
        <w:rPr>
          <w:sz w:val="22"/>
          <w:szCs w:val="22"/>
        </w:rPr>
        <w:t>Veuillet-Combier</w:t>
      </w:r>
      <w:proofErr w:type="spellEnd"/>
      <w:r>
        <w:rPr>
          <w:sz w:val="22"/>
          <w:szCs w:val="22"/>
        </w:rPr>
        <w:t xml:space="preserve"> </w:t>
      </w:r>
      <w:r>
        <w:rPr>
          <w:sz w:val="22"/>
          <w:szCs w:val="22"/>
        </w:rPr>
        <w:fldChar w:fldCharType="begin"/>
      </w:r>
      <w:r>
        <w:rPr>
          <w:sz w:val="22"/>
          <w:szCs w:val="22"/>
        </w:rPr>
        <w:instrText xml:space="preserve"> ADDIN ZOTERO_ITEM CSL_CITATION {"citationID":"1ZQXyfqr","properties":{"formattedCitation":"(2002)","plainCitation":"(2002)","noteIndex":0},"citationItems":[{"id":70,"uris":["http://zotero.org/users/12025499/items/VDKNIVBW"],"itemData":{"id":70,"type":"article-journal","abstract":"Le handicap touche 10 % de la population française. Le jeu des réciprocités entre le handicap et ses effets, le rôle de la famille à cet égard comme aire de transition entre le sujet et son environnement sont ici abordés. Quel est le vécu des familles dont l'un des membres est handicapé, leur souffrance psychique ? Comment la famille vit-elle le moment traumatique de l'annonce du handicap ? Comment accompagne -t-elle le sujet handicapé ? Comment aider les différents membres de la famille à vivre une telle situation ?","container-title":"Le Divan familial","DOI":"10.3917/difa.008.0185","ISSN":"1292-668X","issue":"1","journalAbbreviation":"Le Divan familial","language":"fr","note":"publisher-place: Paris\npublisher: In Press","page":"185-193","source":"Cairn.info","title":"Des enjeux de l'héritage à l'adoption","volume":"8","author":[{"family":"Veuillet-Combier","given":"Claudine"}],"issued":{"date-parts":[["2002"]]}},"label":"page","suppress-author":true}],"schema":"https://github.com/citation-style-language/schema/raw/master/csl-citation.json"} </w:instrText>
      </w:r>
      <w:r>
        <w:rPr>
          <w:sz w:val="22"/>
          <w:szCs w:val="22"/>
        </w:rPr>
        <w:fldChar w:fldCharType="separate"/>
      </w:r>
      <w:r w:rsidRPr="00182DCE">
        <w:rPr>
          <w:sz w:val="22"/>
        </w:rPr>
        <w:t>(2002)</w:t>
      </w:r>
      <w:r>
        <w:rPr>
          <w:sz w:val="22"/>
          <w:szCs w:val="22"/>
        </w:rPr>
        <w:fldChar w:fldCharType="end"/>
      </w:r>
      <w:r>
        <w:rPr>
          <w:sz w:val="22"/>
          <w:szCs w:val="22"/>
        </w:rPr>
        <w:t>, “n</w:t>
      </w:r>
      <w:r w:rsidRPr="00037B30">
        <w:rPr>
          <w:sz w:val="22"/>
          <w:szCs w:val="22"/>
        </w:rPr>
        <w:t>o tener descendencia significa el fin de la filiación biológica, por lo que el sentimiento de pertenencia al linaje y, más ampliamente, a la especie humana se pone en entredicho y genera una amenaza narcisista</w:t>
      </w:r>
      <w:r>
        <w:rPr>
          <w:sz w:val="22"/>
          <w:szCs w:val="22"/>
        </w:rPr>
        <w:t xml:space="preserve">” (párr. 2). Según la autora, para sortear dicha amenaza, en la parentalidad adoptiva se elabora un mito, el de salvador-salvado. Aquí, los padres producen una fantasía donde se figuran como salvadores de un niño destinado al abandono, mientras que este último viene a reparar el narcisismo de los primeros, que se encuentra amenazado por el fin de la filiación biológica. </w:t>
      </w:r>
    </w:p>
    <w:p w14:paraId="733F80D6" w14:textId="77777777" w:rsidR="006F460B" w:rsidRDefault="006F460B" w:rsidP="00300895">
      <w:pPr>
        <w:spacing w:line="360" w:lineRule="auto"/>
        <w:jc w:val="both"/>
        <w:rPr>
          <w:rFonts w:ascii="Arial" w:hAnsi="Arial" w:cs="Arial"/>
        </w:rPr>
      </w:pPr>
    </w:p>
    <w:p w14:paraId="26426E0F" w14:textId="3B19B4C6" w:rsidR="008365D0" w:rsidRDefault="008365D0" w:rsidP="00300895">
      <w:pPr>
        <w:spacing w:line="360" w:lineRule="auto"/>
        <w:jc w:val="both"/>
        <w:rPr>
          <w:rFonts w:ascii="Arial" w:hAnsi="Arial" w:cs="Arial"/>
        </w:rPr>
      </w:pPr>
    </w:p>
    <w:sdt>
      <w:sdtPr>
        <w:rPr>
          <w:rFonts w:ascii="Arial" w:hAnsi="Arial" w:cs="Arial"/>
        </w:rPr>
        <w:id w:val="111145805"/>
        <w:bibliography/>
      </w:sdtPr>
      <w:sdtEndPr>
        <w:rPr>
          <w:rFonts w:asciiTheme="minorHAnsi" w:eastAsiaTheme="minorHAnsi" w:hAnsiTheme="minorHAnsi" w:cstheme="minorBidi"/>
          <w:color w:val="auto"/>
          <w:kern w:val="2"/>
          <w:sz w:val="22"/>
          <w:szCs w:val="22"/>
          <w:lang w:eastAsia="en-US"/>
          <w14:ligatures w14:val="standardContextual"/>
        </w:rPr>
      </w:sdtEndPr>
      <w:sdtContent>
        <w:sdt>
          <w:sdtPr>
            <w:rPr>
              <w:rFonts w:asciiTheme="minorHAnsi" w:eastAsiaTheme="minorHAnsi" w:hAnsiTheme="minorHAnsi" w:cstheme="minorBidi"/>
              <w:color w:val="auto"/>
              <w:kern w:val="2"/>
              <w:sz w:val="22"/>
              <w:szCs w:val="22"/>
              <w:lang w:val="es-ES" w:eastAsia="en-US"/>
              <w14:ligatures w14:val="standardContextual"/>
            </w:rPr>
            <w:id w:val="-1110354823"/>
            <w:docPartObj>
              <w:docPartGallery w:val="Bibliographies"/>
              <w:docPartUnique/>
            </w:docPartObj>
          </w:sdtPr>
          <w:sdtEndPr>
            <w:rPr>
              <w:lang w:val="es-CL"/>
            </w:rPr>
          </w:sdtEndPr>
          <w:sdtContent>
            <w:p w14:paraId="6052EE55" w14:textId="61006BC2" w:rsidR="00A152AF" w:rsidRDefault="00A152AF" w:rsidP="00A152AF">
              <w:pPr>
                <w:pStyle w:val="Ttulo1"/>
              </w:pPr>
            </w:p>
            <w:p w14:paraId="15CD580F" w14:textId="2E8E1188" w:rsidR="00A152AF" w:rsidRDefault="00447FD2" w:rsidP="00A152AF">
              <w:pPr>
                <w:pStyle w:val="Bibliografa"/>
                <w:ind w:left="720" w:hanging="720"/>
                <w:rPr>
                  <w:i/>
                  <w:iCs/>
                  <w:noProof/>
                  <w:lang w:val="es-ES"/>
                </w:rPr>
              </w:pPr>
              <w:r w:rsidRPr="000822F7">
                <w:rPr>
                  <w:rFonts w:ascii="Arial" w:hAnsi="Arial" w:cs="Arial"/>
                </w:rPr>
                <w:fldChar w:fldCharType="begin"/>
              </w:r>
              <w:r w:rsidRPr="000822F7">
                <w:rPr>
                  <w:rFonts w:ascii="Arial" w:hAnsi="Arial" w:cs="Arial"/>
                </w:rPr>
                <w:instrText>BIBLIOGRAPHY</w:instrText>
              </w:r>
              <w:r w:rsidRPr="000822F7">
                <w:rPr>
                  <w:rFonts w:ascii="Arial" w:hAnsi="Arial" w:cs="Arial"/>
                </w:rPr>
                <w:fldChar w:fldCharType="separate"/>
              </w:r>
            </w:p>
            <w:p w14:paraId="6A2D4662" w14:textId="1B434B2D" w:rsidR="00603A6A" w:rsidRDefault="00447FD2" w:rsidP="00603A6A">
              <w:pPr>
                <w:spacing w:line="480" w:lineRule="auto"/>
              </w:pPr>
              <w:r w:rsidRPr="000822F7">
                <w:rPr>
                  <w:rFonts w:ascii="Arial" w:hAnsi="Arial" w:cs="Arial"/>
                  <w:b/>
                  <w:bCs/>
                </w:rPr>
                <w:fldChar w:fldCharType="end"/>
              </w:r>
            </w:p>
          </w:sdtContent>
        </w:sdt>
      </w:sdtContent>
    </w:sdt>
    <w:p w14:paraId="6D13DAD1" w14:textId="2C76DAAD" w:rsidR="00C624FE" w:rsidRPr="00256E81" w:rsidRDefault="00C624FE" w:rsidP="00256E81">
      <w:pPr>
        <w:jc w:val="both"/>
        <w:rPr>
          <w:rFonts w:ascii="Arial" w:hAnsi="Arial" w:cs="Arial"/>
        </w:rPr>
      </w:pPr>
    </w:p>
    <w:sectPr w:rsidR="00C624FE" w:rsidRPr="00256E8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ED44A" w14:textId="77777777" w:rsidR="00703FDD" w:rsidRDefault="00703FDD" w:rsidP="00FF0E83">
      <w:pPr>
        <w:spacing w:after="0" w:line="240" w:lineRule="auto"/>
      </w:pPr>
      <w:r>
        <w:separator/>
      </w:r>
    </w:p>
  </w:endnote>
  <w:endnote w:type="continuationSeparator" w:id="0">
    <w:p w14:paraId="7E1463B2" w14:textId="77777777" w:rsidR="00703FDD" w:rsidRDefault="00703FDD" w:rsidP="00FF0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980B5" w14:textId="77777777" w:rsidR="00703FDD" w:rsidRDefault="00703FDD" w:rsidP="00FF0E83">
      <w:pPr>
        <w:spacing w:after="0" w:line="240" w:lineRule="auto"/>
      </w:pPr>
      <w:r>
        <w:separator/>
      </w:r>
    </w:p>
  </w:footnote>
  <w:footnote w:type="continuationSeparator" w:id="0">
    <w:p w14:paraId="55102854" w14:textId="77777777" w:rsidR="00703FDD" w:rsidRDefault="00703FDD" w:rsidP="00FF0E83">
      <w:pPr>
        <w:spacing w:after="0" w:line="240" w:lineRule="auto"/>
      </w:pPr>
      <w:r>
        <w:continuationSeparator/>
      </w:r>
    </w:p>
  </w:footnote>
  <w:footnote w:id="1">
    <w:p w14:paraId="1EF24832" w14:textId="77777777" w:rsidR="00FF0E83" w:rsidRPr="000152B3" w:rsidRDefault="00FF0E83" w:rsidP="00FF0E83">
      <w:pPr>
        <w:pStyle w:val="Textonotapie"/>
        <w:jc w:val="both"/>
        <w:rPr>
          <w:lang w:val="es-MX"/>
        </w:rPr>
      </w:pPr>
      <w:r>
        <w:rPr>
          <w:rStyle w:val="Refdenotaalpie"/>
        </w:rPr>
        <w:footnoteRef/>
      </w:r>
      <w:r>
        <w:t xml:space="preserve"> </w:t>
      </w:r>
      <w:r w:rsidRPr="001372D0">
        <w:rPr>
          <w:rFonts w:ascii="Arial" w:hAnsi="Arial" w:cs="Arial"/>
          <w:sz w:val="18"/>
          <w:szCs w:val="18"/>
          <w:lang w:val="es-MX"/>
        </w:rPr>
        <w:t>Para efectos de est</w:t>
      </w:r>
      <w:r>
        <w:rPr>
          <w:rFonts w:ascii="Arial" w:hAnsi="Arial" w:cs="Arial"/>
          <w:sz w:val="18"/>
          <w:szCs w:val="18"/>
          <w:lang w:val="es-MX"/>
        </w:rPr>
        <w:t>a sección</w:t>
      </w:r>
      <w:r w:rsidRPr="001372D0">
        <w:rPr>
          <w:rFonts w:ascii="Arial" w:hAnsi="Arial" w:cs="Arial"/>
          <w:sz w:val="18"/>
          <w:szCs w:val="18"/>
          <w:lang w:val="es-MX"/>
        </w:rPr>
        <w:t xml:space="preserve">, los conceptos de vínculo y relación serán utilizados como </w:t>
      </w:r>
      <w:r>
        <w:rPr>
          <w:rFonts w:ascii="Arial" w:hAnsi="Arial" w:cs="Arial"/>
          <w:sz w:val="18"/>
          <w:szCs w:val="18"/>
          <w:lang w:val="es-MX"/>
        </w:rPr>
        <w:t xml:space="preserve">sinónimos, a excepción de la presentación de la teoría dispuesta por </w:t>
      </w:r>
      <w:proofErr w:type="spellStart"/>
      <w:r>
        <w:rPr>
          <w:rFonts w:ascii="Arial" w:hAnsi="Arial" w:cs="Arial"/>
          <w:sz w:val="18"/>
          <w:szCs w:val="18"/>
          <w:lang w:val="es-MX"/>
        </w:rPr>
        <w:t>Guyomard</w:t>
      </w:r>
      <w:proofErr w:type="spellEnd"/>
      <w:r>
        <w:rPr>
          <w:rFonts w:ascii="Arial" w:hAnsi="Arial" w:cs="Arial"/>
          <w:sz w:val="18"/>
          <w:szCs w:val="18"/>
          <w:lang w:val="es-MX"/>
        </w:rPr>
        <w:t xml:space="preserve"> (2013), que será trabajada posteriormente. </w:t>
      </w:r>
    </w:p>
  </w:footnote>
  <w:footnote w:id="2">
    <w:p w14:paraId="4FC8578B" w14:textId="77777777" w:rsidR="00FF0E83" w:rsidRPr="00A25ECF" w:rsidRDefault="00FF0E83" w:rsidP="00FF0E83">
      <w:pPr>
        <w:pStyle w:val="Textonotapie"/>
      </w:pPr>
      <w:r>
        <w:rPr>
          <w:rStyle w:val="Refdenotaalpie"/>
        </w:rPr>
        <w:footnoteRef/>
      </w:r>
      <w:r>
        <w:t xml:space="preserve"> Para efectos de este escrito, el concepto de </w:t>
      </w:r>
      <w:proofErr w:type="spellStart"/>
      <w:r>
        <w:rPr>
          <w:i/>
          <w:iCs/>
        </w:rPr>
        <w:t>infans</w:t>
      </w:r>
      <w:proofErr w:type="spellEnd"/>
      <w:r>
        <w:rPr>
          <w:i/>
          <w:iCs/>
        </w:rPr>
        <w:t xml:space="preserve"> </w:t>
      </w:r>
      <w:r>
        <w:t>será utilizado sin hacer una distinción por género.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05E02"/>
    <w:multiLevelType w:val="hybridMultilevel"/>
    <w:tmpl w:val="B238ACBC"/>
    <w:lvl w:ilvl="0" w:tplc="94C00D1E">
      <w:start w:val="1"/>
      <w:numFmt w:val="low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3023633D"/>
    <w:multiLevelType w:val="hybridMultilevel"/>
    <w:tmpl w:val="5FBAC7FA"/>
    <w:lvl w:ilvl="0" w:tplc="85EC3AC8">
      <w:numFmt w:val="bullet"/>
      <w:lvlText w:val=""/>
      <w:lvlJc w:val="left"/>
      <w:pPr>
        <w:ind w:left="720" w:hanging="360"/>
      </w:pPr>
      <w:rPr>
        <w:rFonts w:ascii="Symbol" w:eastAsiaTheme="minorHAnsi" w:hAnsi="Symbo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3DEB1CB7"/>
    <w:multiLevelType w:val="hybridMultilevel"/>
    <w:tmpl w:val="85488D06"/>
    <w:lvl w:ilvl="0" w:tplc="AC2EFA1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648F1CC8"/>
    <w:multiLevelType w:val="hybridMultilevel"/>
    <w:tmpl w:val="DAA81C36"/>
    <w:lvl w:ilvl="0" w:tplc="340A000F">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6AEF1E66"/>
    <w:multiLevelType w:val="hybridMultilevel"/>
    <w:tmpl w:val="005C3D18"/>
    <w:lvl w:ilvl="0" w:tplc="56DC916A">
      <w:numFmt w:val="bullet"/>
      <w:lvlText w:val=""/>
      <w:lvlJc w:val="left"/>
      <w:pPr>
        <w:ind w:left="720" w:hanging="360"/>
      </w:pPr>
      <w:rPr>
        <w:rFonts w:ascii="Symbol" w:eastAsiaTheme="minorHAnsi" w:hAnsi="Symbo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7CAB7027"/>
    <w:multiLevelType w:val="hybridMultilevel"/>
    <w:tmpl w:val="8000FAC4"/>
    <w:lvl w:ilvl="0" w:tplc="ABEA9C02">
      <w:numFmt w:val="bullet"/>
      <w:lvlText w:val=""/>
      <w:lvlJc w:val="left"/>
      <w:pPr>
        <w:ind w:left="420" w:hanging="360"/>
      </w:pPr>
      <w:rPr>
        <w:rFonts w:ascii="Symbol" w:eastAsiaTheme="minorHAnsi" w:hAnsi="Symbol" w:cs="Arial" w:hint="default"/>
      </w:rPr>
    </w:lvl>
    <w:lvl w:ilvl="1" w:tplc="340A0003" w:tentative="1">
      <w:start w:val="1"/>
      <w:numFmt w:val="bullet"/>
      <w:lvlText w:val="o"/>
      <w:lvlJc w:val="left"/>
      <w:pPr>
        <w:ind w:left="1140" w:hanging="360"/>
      </w:pPr>
      <w:rPr>
        <w:rFonts w:ascii="Courier New" w:hAnsi="Courier New" w:cs="Courier New" w:hint="default"/>
      </w:rPr>
    </w:lvl>
    <w:lvl w:ilvl="2" w:tplc="340A0005" w:tentative="1">
      <w:start w:val="1"/>
      <w:numFmt w:val="bullet"/>
      <w:lvlText w:val=""/>
      <w:lvlJc w:val="left"/>
      <w:pPr>
        <w:ind w:left="1860" w:hanging="360"/>
      </w:pPr>
      <w:rPr>
        <w:rFonts w:ascii="Wingdings" w:hAnsi="Wingdings" w:hint="default"/>
      </w:rPr>
    </w:lvl>
    <w:lvl w:ilvl="3" w:tplc="340A0001" w:tentative="1">
      <w:start w:val="1"/>
      <w:numFmt w:val="bullet"/>
      <w:lvlText w:val=""/>
      <w:lvlJc w:val="left"/>
      <w:pPr>
        <w:ind w:left="2580" w:hanging="360"/>
      </w:pPr>
      <w:rPr>
        <w:rFonts w:ascii="Symbol" w:hAnsi="Symbol" w:hint="default"/>
      </w:rPr>
    </w:lvl>
    <w:lvl w:ilvl="4" w:tplc="340A0003" w:tentative="1">
      <w:start w:val="1"/>
      <w:numFmt w:val="bullet"/>
      <w:lvlText w:val="o"/>
      <w:lvlJc w:val="left"/>
      <w:pPr>
        <w:ind w:left="3300" w:hanging="360"/>
      </w:pPr>
      <w:rPr>
        <w:rFonts w:ascii="Courier New" w:hAnsi="Courier New" w:cs="Courier New" w:hint="default"/>
      </w:rPr>
    </w:lvl>
    <w:lvl w:ilvl="5" w:tplc="340A0005" w:tentative="1">
      <w:start w:val="1"/>
      <w:numFmt w:val="bullet"/>
      <w:lvlText w:val=""/>
      <w:lvlJc w:val="left"/>
      <w:pPr>
        <w:ind w:left="4020" w:hanging="360"/>
      </w:pPr>
      <w:rPr>
        <w:rFonts w:ascii="Wingdings" w:hAnsi="Wingdings" w:hint="default"/>
      </w:rPr>
    </w:lvl>
    <w:lvl w:ilvl="6" w:tplc="340A0001" w:tentative="1">
      <w:start w:val="1"/>
      <w:numFmt w:val="bullet"/>
      <w:lvlText w:val=""/>
      <w:lvlJc w:val="left"/>
      <w:pPr>
        <w:ind w:left="4740" w:hanging="360"/>
      </w:pPr>
      <w:rPr>
        <w:rFonts w:ascii="Symbol" w:hAnsi="Symbol" w:hint="default"/>
      </w:rPr>
    </w:lvl>
    <w:lvl w:ilvl="7" w:tplc="340A0003" w:tentative="1">
      <w:start w:val="1"/>
      <w:numFmt w:val="bullet"/>
      <w:lvlText w:val="o"/>
      <w:lvlJc w:val="left"/>
      <w:pPr>
        <w:ind w:left="5460" w:hanging="360"/>
      </w:pPr>
      <w:rPr>
        <w:rFonts w:ascii="Courier New" w:hAnsi="Courier New" w:cs="Courier New" w:hint="default"/>
      </w:rPr>
    </w:lvl>
    <w:lvl w:ilvl="8" w:tplc="340A0005" w:tentative="1">
      <w:start w:val="1"/>
      <w:numFmt w:val="bullet"/>
      <w:lvlText w:val=""/>
      <w:lvlJc w:val="left"/>
      <w:pPr>
        <w:ind w:left="6180" w:hanging="360"/>
      </w:pPr>
      <w:rPr>
        <w:rFonts w:ascii="Wingdings" w:hAnsi="Wingdings" w:hint="default"/>
      </w:rPr>
    </w:lvl>
  </w:abstractNum>
  <w:num w:numId="1" w16cid:durableId="104810392">
    <w:abstractNumId w:val="5"/>
  </w:num>
  <w:num w:numId="2" w16cid:durableId="1410931312">
    <w:abstractNumId w:val="3"/>
  </w:num>
  <w:num w:numId="3" w16cid:durableId="881287669">
    <w:abstractNumId w:val="1"/>
  </w:num>
  <w:num w:numId="4" w16cid:durableId="930892785">
    <w:abstractNumId w:val="4"/>
  </w:num>
  <w:num w:numId="5" w16cid:durableId="2054961500">
    <w:abstractNumId w:val="0"/>
  </w:num>
  <w:num w:numId="6" w16cid:durableId="469128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F02"/>
    <w:rsid w:val="00000703"/>
    <w:rsid w:val="00003D5D"/>
    <w:rsid w:val="0001655F"/>
    <w:rsid w:val="0002013E"/>
    <w:rsid w:val="0003409D"/>
    <w:rsid w:val="00044E83"/>
    <w:rsid w:val="00054D3D"/>
    <w:rsid w:val="00070FE8"/>
    <w:rsid w:val="000822F7"/>
    <w:rsid w:val="00087EFF"/>
    <w:rsid w:val="0009086C"/>
    <w:rsid w:val="000C18C8"/>
    <w:rsid w:val="000D3348"/>
    <w:rsid w:val="000D4BA1"/>
    <w:rsid w:val="000D4CCE"/>
    <w:rsid w:val="000E43AF"/>
    <w:rsid w:val="001025A4"/>
    <w:rsid w:val="001056C7"/>
    <w:rsid w:val="0011698D"/>
    <w:rsid w:val="00124448"/>
    <w:rsid w:val="00131382"/>
    <w:rsid w:val="00133887"/>
    <w:rsid w:val="001361B7"/>
    <w:rsid w:val="00140752"/>
    <w:rsid w:val="001525A7"/>
    <w:rsid w:val="00166760"/>
    <w:rsid w:val="0016699D"/>
    <w:rsid w:val="001833BF"/>
    <w:rsid w:val="0018471E"/>
    <w:rsid w:val="001902C7"/>
    <w:rsid w:val="00191B30"/>
    <w:rsid w:val="001B0503"/>
    <w:rsid w:val="001D12A3"/>
    <w:rsid w:val="001E2219"/>
    <w:rsid w:val="001F2195"/>
    <w:rsid w:val="0020440B"/>
    <w:rsid w:val="002100CD"/>
    <w:rsid w:val="00221DA9"/>
    <w:rsid w:val="00223CCD"/>
    <w:rsid w:val="00233818"/>
    <w:rsid w:val="00233BF6"/>
    <w:rsid w:val="0024567E"/>
    <w:rsid w:val="00245B45"/>
    <w:rsid w:val="00250139"/>
    <w:rsid w:val="00252B27"/>
    <w:rsid w:val="002550B3"/>
    <w:rsid w:val="00256E81"/>
    <w:rsid w:val="00263657"/>
    <w:rsid w:val="002758F7"/>
    <w:rsid w:val="00276FD1"/>
    <w:rsid w:val="002770AF"/>
    <w:rsid w:val="00277DAD"/>
    <w:rsid w:val="00285EDC"/>
    <w:rsid w:val="00296504"/>
    <w:rsid w:val="002B5F92"/>
    <w:rsid w:val="002C2449"/>
    <w:rsid w:val="002C59B9"/>
    <w:rsid w:val="002D6A92"/>
    <w:rsid w:val="002F37A9"/>
    <w:rsid w:val="00300895"/>
    <w:rsid w:val="00305281"/>
    <w:rsid w:val="00310C51"/>
    <w:rsid w:val="00326FD4"/>
    <w:rsid w:val="00337089"/>
    <w:rsid w:val="0034709A"/>
    <w:rsid w:val="00352D53"/>
    <w:rsid w:val="00360282"/>
    <w:rsid w:val="00364B10"/>
    <w:rsid w:val="003700DD"/>
    <w:rsid w:val="00372AD0"/>
    <w:rsid w:val="00373453"/>
    <w:rsid w:val="00380F7E"/>
    <w:rsid w:val="003844C3"/>
    <w:rsid w:val="00385CD8"/>
    <w:rsid w:val="0038621B"/>
    <w:rsid w:val="00397D20"/>
    <w:rsid w:val="003A3EAA"/>
    <w:rsid w:val="003D0918"/>
    <w:rsid w:val="003D488E"/>
    <w:rsid w:val="003E2BF4"/>
    <w:rsid w:val="003E690F"/>
    <w:rsid w:val="00402A04"/>
    <w:rsid w:val="00411E08"/>
    <w:rsid w:val="00420590"/>
    <w:rsid w:val="00443BBA"/>
    <w:rsid w:val="00444AFA"/>
    <w:rsid w:val="00447FD2"/>
    <w:rsid w:val="004509FC"/>
    <w:rsid w:val="00450A6C"/>
    <w:rsid w:val="0045121B"/>
    <w:rsid w:val="00453B92"/>
    <w:rsid w:val="004634FC"/>
    <w:rsid w:val="00464705"/>
    <w:rsid w:val="00466D4F"/>
    <w:rsid w:val="00472940"/>
    <w:rsid w:val="00474D96"/>
    <w:rsid w:val="00476551"/>
    <w:rsid w:val="00494118"/>
    <w:rsid w:val="004A1BA9"/>
    <w:rsid w:val="004A3B2E"/>
    <w:rsid w:val="004B50E1"/>
    <w:rsid w:val="004C11FD"/>
    <w:rsid w:val="004C47D6"/>
    <w:rsid w:val="004D6279"/>
    <w:rsid w:val="004E0C47"/>
    <w:rsid w:val="004F165B"/>
    <w:rsid w:val="004F4ED1"/>
    <w:rsid w:val="004F6999"/>
    <w:rsid w:val="00504F02"/>
    <w:rsid w:val="00510570"/>
    <w:rsid w:val="0052125B"/>
    <w:rsid w:val="00523624"/>
    <w:rsid w:val="005320E4"/>
    <w:rsid w:val="0054634D"/>
    <w:rsid w:val="0055184E"/>
    <w:rsid w:val="00562015"/>
    <w:rsid w:val="00574C50"/>
    <w:rsid w:val="00577C31"/>
    <w:rsid w:val="00592B27"/>
    <w:rsid w:val="005B4A7C"/>
    <w:rsid w:val="005C1F7E"/>
    <w:rsid w:val="005C2491"/>
    <w:rsid w:val="005E1532"/>
    <w:rsid w:val="00603A6A"/>
    <w:rsid w:val="0060492A"/>
    <w:rsid w:val="00615E41"/>
    <w:rsid w:val="0062062B"/>
    <w:rsid w:val="00636EA3"/>
    <w:rsid w:val="00647D5A"/>
    <w:rsid w:val="00657EFD"/>
    <w:rsid w:val="00660DEA"/>
    <w:rsid w:val="0067034D"/>
    <w:rsid w:val="006812FA"/>
    <w:rsid w:val="006B142F"/>
    <w:rsid w:val="006B2DD8"/>
    <w:rsid w:val="006C234D"/>
    <w:rsid w:val="006D74B7"/>
    <w:rsid w:val="006E1610"/>
    <w:rsid w:val="006E2E22"/>
    <w:rsid w:val="006F460B"/>
    <w:rsid w:val="00703FDD"/>
    <w:rsid w:val="00704EA6"/>
    <w:rsid w:val="007111D4"/>
    <w:rsid w:val="00712A33"/>
    <w:rsid w:val="00712F52"/>
    <w:rsid w:val="00726C7A"/>
    <w:rsid w:val="007348E5"/>
    <w:rsid w:val="0074416F"/>
    <w:rsid w:val="007541F2"/>
    <w:rsid w:val="0076018E"/>
    <w:rsid w:val="00770D22"/>
    <w:rsid w:val="00772C24"/>
    <w:rsid w:val="00785943"/>
    <w:rsid w:val="00791577"/>
    <w:rsid w:val="007A11B5"/>
    <w:rsid w:val="007A34D6"/>
    <w:rsid w:val="007A56C1"/>
    <w:rsid w:val="007B1DFE"/>
    <w:rsid w:val="007C2880"/>
    <w:rsid w:val="007D2020"/>
    <w:rsid w:val="007D7977"/>
    <w:rsid w:val="007E1A0D"/>
    <w:rsid w:val="007E1CD2"/>
    <w:rsid w:val="007E35E3"/>
    <w:rsid w:val="007E3FAD"/>
    <w:rsid w:val="00801CFB"/>
    <w:rsid w:val="00822B68"/>
    <w:rsid w:val="008307FE"/>
    <w:rsid w:val="008365D0"/>
    <w:rsid w:val="008435E5"/>
    <w:rsid w:val="00853065"/>
    <w:rsid w:val="00862EE1"/>
    <w:rsid w:val="00866C5C"/>
    <w:rsid w:val="0087030B"/>
    <w:rsid w:val="00873752"/>
    <w:rsid w:val="00875CBA"/>
    <w:rsid w:val="008820C8"/>
    <w:rsid w:val="008A444D"/>
    <w:rsid w:val="008E4F8D"/>
    <w:rsid w:val="00900AB4"/>
    <w:rsid w:val="009116B3"/>
    <w:rsid w:val="0091510F"/>
    <w:rsid w:val="00916CCB"/>
    <w:rsid w:val="00920838"/>
    <w:rsid w:val="009333A7"/>
    <w:rsid w:val="00936CAB"/>
    <w:rsid w:val="00936E24"/>
    <w:rsid w:val="00940EE8"/>
    <w:rsid w:val="00942F36"/>
    <w:rsid w:val="00952523"/>
    <w:rsid w:val="0095408D"/>
    <w:rsid w:val="009542BF"/>
    <w:rsid w:val="00957391"/>
    <w:rsid w:val="00967E1C"/>
    <w:rsid w:val="009769ED"/>
    <w:rsid w:val="00997F99"/>
    <w:rsid w:val="009A596B"/>
    <w:rsid w:val="009C0EDB"/>
    <w:rsid w:val="009C1A6E"/>
    <w:rsid w:val="009D2E26"/>
    <w:rsid w:val="009D2ECF"/>
    <w:rsid w:val="009F02C5"/>
    <w:rsid w:val="00A0622D"/>
    <w:rsid w:val="00A0759F"/>
    <w:rsid w:val="00A12C45"/>
    <w:rsid w:val="00A152AF"/>
    <w:rsid w:val="00A202F4"/>
    <w:rsid w:val="00A22EF3"/>
    <w:rsid w:val="00A30A56"/>
    <w:rsid w:val="00A4179B"/>
    <w:rsid w:val="00A4575E"/>
    <w:rsid w:val="00A5494B"/>
    <w:rsid w:val="00A57F18"/>
    <w:rsid w:val="00A648FA"/>
    <w:rsid w:val="00A70179"/>
    <w:rsid w:val="00A86841"/>
    <w:rsid w:val="00A94A14"/>
    <w:rsid w:val="00AB3489"/>
    <w:rsid w:val="00AB5909"/>
    <w:rsid w:val="00AC4C07"/>
    <w:rsid w:val="00AC6E26"/>
    <w:rsid w:val="00AC7D9F"/>
    <w:rsid w:val="00AE69D5"/>
    <w:rsid w:val="00B04299"/>
    <w:rsid w:val="00B044E5"/>
    <w:rsid w:val="00B15EC3"/>
    <w:rsid w:val="00B25149"/>
    <w:rsid w:val="00B3097E"/>
    <w:rsid w:val="00B45F70"/>
    <w:rsid w:val="00B57744"/>
    <w:rsid w:val="00B60727"/>
    <w:rsid w:val="00B63DCE"/>
    <w:rsid w:val="00B966DD"/>
    <w:rsid w:val="00B97520"/>
    <w:rsid w:val="00BA1419"/>
    <w:rsid w:val="00BA7881"/>
    <w:rsid w:val="00BB136D"/>
    <w:rsid w:val="00BC21DE"/>
    <w:rsid w:val="00BC39AE"/>
    <w:rsid w:val="00BC629D"/>
    <w:rsid w:val="00BD652C"/>
    <w:rsid w:val="00BF7E8D"/>
    <w:rsid w:val="00C028CA"/>
    <w:rsid w:val="00C040AF"/>
    <w:rsid w:val="00C04180"/>
    <w:rsid w:val="00C2031C"/>
    <w:rsid w:val="00C336FE"/>
    <w:rsid w:val="00C41D07"/>
    <w:rsid w:val="00C61458"/>
    <w:rsid w:val="00C624FE"/>
    <w:rsid w:val="00C67043"/>
    <w:rsid w:val="00C74E38"/>
    <w:rsid w:val="00C74E69"/>
    <w:rsid w:val="00C83A06"/>
    <w:rsid w:val="00C965FB"/>
    <w:rsid w:val="00C97D9A"/>
    <w:rsid w:val="00CA5C1F"/>
    <w:rsid w:val="00CB0FFC"/>
    <w:rsid w:val="00CB3C10"/>
    <w:rsid w:val="00CB4B7B"/>
    <w:rsid w:val="00CB6727"/>
    <w:rsid w:val="00CC36A1"/>
    <w:rsid w:val="00CD5AC3"/>
    <w:rsid w:val="00CE65E3"/>
    <w:rsid w:val="00D00B27"/>
    <w:rsid w:val="00D13F7E"/>
    <w:rsid w:val="00D156E2"/>
    <w:rsid w:val="00D229C9"/>
    <w:rsid w:val="00D41246"/>
    <w:rsid w:val="00D614ED"/>
    <w:rsid w:val="00D76B0A"/>
    <w:rsid w:val="00D801BF"/>
    <w:rsid w:val="00D83A41"/>
    <w:rsid w:val="00D966D9"/>
    <w:rsid w:val="00DB425F"/>
    <w:rsid w:val="00DB5FDA"/>
    <w:rsid w:val="00DD14FA"/>
    <w:rsid w:val="00DE5511"/>
    <w:rsid w:val="00DF547E"/>
    <w:rsid w:val="00DF64F4"/>
    <w:rsid w:val="00DF7457"/>
    <w:rsid w:val="00E011EE"/>
    <w:rsid w:val="00E10739"/>
    <w:rsid w:val="00E113CE"/>
    <w:rsid w:val="00E2006E"/>
    <w:rsid w:val="00E30EB6"/>
    <w:rsid w:val="00E43B1C"/>
    <w:rsid w:val="00E55019"/>
    <w:rsid w:val="00E674ED"/>
    <w:rsid w:val="00E73270"/>
    <w:rsid w:val="00E75082"/>
    <w:rsid w:val="00E75B4B"/>
    <w:rsid w:val="00E8365F"/>
    <w:rsid w:val="00E85253"/>
    <w:rsid w:val="00E86655"/>
    <w:rsid w:val="00E90A20"/>
    <w:rsid w:val="00E9158D"/>
    <w:rsid w:val="00EA0A93"/>
    <w:rsid w:val="00EA76FE"/>
    <w:rsid w:val="00EB463D"/>
    <w:rsid w:val="00EC7D66"/>
    <w:rsid w:val="00EE1B7B"/>
    <w:rsid w:val="00EF00D4"/>
    <w:rsid w:val="00EF5D9E"/>
    <w:rsid w:val="00F03467"/>
    <w:rsid w:val="00F063EF"/>
    <w:rsid w:val="00F445F1"/>
    <w:rsid w:val="00F624D3"/>
    <w:rsid w:val="00F72CCA"/>
    <w:rsid w:val="00F93197"/>
    <w:rsid w:val="00FA37D8"/>
    <w:rsid w:val="00FA463E"/>
    <w:rsid w:val="00FB1336"/>
    <w:rsid w:val="00FB34FC"/>
    <w:rsid w:val="00FB4C35"/>
    <w:rsid w:val="00FB71D0"/>
    <w:rsid w:val="00FC19B6"/>
    <w:rsid w:val="00FD0B5B"/>
    <w:rsid w:val="00FD26A4"/>
    <w:rsid w:val="00FD46F7"/>
    <w:rsid w:val="00FF0E83"/>
    <w:rsid w:val="00FF1F64"/>
    <w:rsid w:val="00FF31F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360B0"/>
  <w15:chartTrackingRefBased/>
  <w15:docId w15:val="{7996F713-5486-4EEE-83CC-40D0E651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47FD2"/>
    <w:pPr>
      <w:keepNext/>
      <w:keepLines/>
      <w:spacing w:before="240" w:after="0"/>
      <w:outlineLvl w:val="0"/>
    </w:pPr>
    <w:rPr>
      <w:rFonts w:asciiTheme="majorHAnsi" w:eastAsiaTheme="majorEastAsia" w:hAnsiTheme="majorHAnsi" w:cstheme="majorBidi"/>
      <w:color w:val="2F5496" w:themeColor="accent1" w:themeShade="BF"/>
      <w:kern w:val="0"/>
      <w:sz w:val="32"/>
      <w:szCs w:val="32"/>
      <w:lang w:eastAsia="es-C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B1336"/>
    <w:pPr>
      <w:ind w:left="720"/>
      <w:contextualSpacing/>
    </w:pPr>
  </w:style>
  <w:style w:type="character" w:customStyle="1" w:styleId="Ttulo1Car">
    <w:name w:val="Título 1 Car"/>
    <w:basedOn w:val="Fuentedeprrafopredeter"/>
    <w:link w:val="Ttulo1"/>
    <w:uiPriority w:val="9"/>
    <w:rsid w:val="00447FD2"/>
    <w:rPr>
      <w:rFonts w:asciiTheme="majorHAnsi" w:eastAsiaTheme="majorEastAsia" w:hAnsiTheme="majorHAnsi" w:cstheme="majorBidi"/>
      <w:color w:val="2F5496" w:themeColor="accent1" w:themeShade="BF"/>
      <w:kern w:val="0"/>
      <w:sz w:val="32"/>
      <w:szCs w:val="32"/>
      <w:lang w:eastAsia="es-CL"/>
      <w14:ligatures w14:val="none"/>
    </w:rPr>
  </w:style>
  <w:style w:type="paragraph" w:styleId="Bibliografa">
    <w:name w:val="Bibliography"/>
    <w:basedOn w:val="Normal"/>
    <w:next w:val="Normal"/>
    <w:uiPriority w:val="37"/>
    <w:unhideWhenUsed/>
    <w:rsid w:val="00447FD2"/>
  </w:style>
  <w:style w:type="character" w:styleId="Refdecomentario">
    <w:name w:val="annotation reference"/>
    <w:basedOn w:val="Fuentedeprrafopredeter"/>
    <w:uiPriority w:val="99"/>
    <w:semiHidden/>
    <w:unhideWhenUsed/>
    <w:rsid w:val="00054D3D"/>
    <w:rPr>
      <w:sz w:val="16"/>
      <w:szCs w:val="16"/>
    </w:rPr>
  </w:style>
  <w:style w:type="paragraph" w:styleId="Textocomentario">
    <w:name w:val="annotation text"/>
    <w:basedOn w:val="Normal"/>
    <w:link w:val="TextocomentarioCar"/>
    <w:uiPriority w:val="99"/>
    <w:unhideWhenUsed/>
    <w:rsid w:val="00054D3D"/>
    <w:pPr>
      <w:spacing w:line="240" w:lineRule="auto"/>
    </w:pPr>
    <w:rPr>
      <w:sz w:val="20"/>
      <w:szCs w:val="20"/>
    </w:rPr>
  </w:style>
  <w:style w:type="character" w:customStyle="1" w:styleId="TextocomentarioCar">
    <w:name w:val="Texto comentario Car"/>
    <w:basedOn w:val="Fuentedeprrafopredeter"/>
    <w:link w:val="Textocomentario"/>
    <w:uiPriority w:val="99"/>
    <w:rsid w:val="00054D3D"/>
    <w:rPr>
      <w:sz w:val="20"/>
      <w:szCs w:val="20"/>
    </w:rPr>
  </w:style>
  <w:style w:type="paragraph" w:styleId="Asuntodelcomentario">
    <w:name w:val="annotation subject"/>
    <w:basedOn w:val="Textocomentario"/>
    <w:next w:val="Textocomentario"/>
    <w:link w:val="AsuntodelcomentarioCar"/>
    <w:uiPriority w:val="99"/>
    <w:semiHidden/>
    <w:unhideWhenUsed/>
    <w:rsid w:val="00054D3D"/>
    <w:rPr>
      <w:b/>
      <w:bCs/>
    </w:rPr>
  </w:style>
  <w:style w:type="character" w:customStyle="1" w:styleId="AsuntodelcomentarioCar">
    <w:name w:val="Asunto del comentario Car"/>
    <w:basedOn w:val="TextocomentarioCar"/>
    <w:link w:val="Asuntodelcomentario"/>
    <w:uiPriority w:val="99"/>
    <w:semiHidden/>
    <w:rsid w:val="00054D3D"/>
    <w:rPr>
      <w:b/>
      <w:bCs/>
      <w:sz w:val="20"/>
      <w:szCs w:val="20"/>
    </w:rPr>
  </w:style>
  <w:style w:type="paragraph" w:styleId="Textonotapie">
    <w:name w:val="footnote text"/>
    <w:basedOn w:val="Normal"/>
    <w:link w:val="TextonotapieCar"/>
    <w:uiPriority w:val="99"/>
    <w:semiHidden/>
    <w:unhideWhenUsed/>
    <w:rsid w:val="00FF0E8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F0E83"/>
    <w:rPr>
      <w:sz w:val="20"/>
      <w:szCs w:val="20"/>
    </w:rPr>
  </w:style>
  <w:style w:type="character" w:styleId="Refdenotaalpie">
    <w:name w:val="footnote reference"/>
    <w:basedOn w:val="Fuentedeprrafopredeter"/>
    <w:uiPriority w:val="99"/>
    <w:semiHidden/>
    <w:unhideWhenUsed/>
    <w:rsid w:val="00FF0E83"/>
    <w:rPr>
      <w:vertAlign w:val="superscript"/>
    </w:rPr>
  </w:style>
  <w:style w:type="paragraph" w:customStyle="1" w:styleId="Default">
    <w:name w:val="Default"/>
    <w:rsid w:val="00FF0E83"/>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7443">
      <w:bodyDiv w:val="1"/>
      <w:marLeft w:val="0"/>
      <w:marRight w:val="0"/>
      <w:marTop w:val="0"/>
      <w:marBottom w:val="0"/>
      <w:divBdr>
        <w:top w:val="none" w:sz="0" w:space="0" w:color="auto"/>
        <w:left w:val="none" w:sz="0" w:space="0" w:color="auto"/>
        <w:bottom w:val="none" w:sz="0" w:space="0" w:color="auto"/>
        <w:right w:val="none" w:sz="0" w:space="0" w:color="auto"/>
      </w:divBdr>
    </w:div>
    <w:div w:id="101608352">
      <w:bodyDiv w:val="1"/>
      <w:marLeft w:val="0"/>
      <w:marRight w:val="0"/>
      <w:marTop w:val="0"/>
      <w:marBottom w:val="0"/>
      <w:divBdr>
        <w:top w:val="none" w:sz="0" w:space="0" w:color="auto"/>
        <w:left w:val="none" w:sz="0" w:space="0" w:color="auto"/>
        <w:bottom w:val="none" w:sz="0" w:space="0" w:color="auto"/>
        <w:right w:val="none" w:sz="0" w:space="0" w:color="auto"/>
      </w:divBdr>
    </w:div>
    <w:div w:id="162400254">
      <w:bodyDiv w:val="1"/>
      <w:marLeft w:val="0"/>
      <w:marRight w:val="0"/>
      <w:marTop w:val="0"/>
      <w:marBottom w:val="0"/>
      <w:divBdr>
        <w:top w:val="none" w:sz="0" w:space="0" w:color="auto"/>
        <w:left w:val="none" w:sz="0" w:space="0" w:color="auto"/>
        <w:bottom w:val="none" w:sz="0" w:space="0" w:color="auto"/>
        <w:right w:val="none" w:sz="0" w:space="0" w:color="auto"/>
      </w:divBdr>
    </w:div>
    <w:div w:id="184902267">
      <w:bodyDiv w:val="1"/>
      <w:marLeft w:val="0"/>
      <w:marRight w:val="0"/>
      <w:marTop w:val="0"/>
      <w:marBottom w:val="0"/>
      <w:divBdr>
        <w:top w:val="none" w:sz="0" w:space="0" w:color="auto"/>
        <w:left w:val="none" w:sz="0" w:space="0" w:color="auto"/>
        <w:bottom w:val="none" w:sz="0" w:space="0" w:color="auto"/>
        <w:right w:val="none" w:sz="0" w:space="0" w:color="auto"/>
      </w:divBdr>
    </w:div>
    <w:div w:id="204950798">
      <w:bodyDiv w:val="1"/>
      <w:marLeft w:val="0"/>
      <w:marRight w:val="0"/>
      <w:marTop w:val="0"/>
      <w:marBottom w:val="0"/>
      <w:divBdr>
        <w:top w:val="none" w:sz="0" w:space="0" w:color="auto"/>
        <w:left w:val="none" w:sz="0" w:space="0" w:color="auto"/>
        <w:bottom w:val="none" w:sz="0" w:space="0" w:color="auto"/>
        <w:right w:val="none" w:sz="0" w:space="0" w:color="auto"/>
      </w:divBdr>
    </w:div>
    <w:div w:id="218366550">
      <w:bodyDiv w:val="1"/>
      <w:marLeft w:val="0"/>
      <w:marRight w:val="0"/>
      <w:marTop w:val="0"/>
      <w:marBottom w:val="0"/>
      <w:divBdr>
        <w:top w:val="none" w:sz="0" w:space="0" w:color="auto"/>
        <w:left w:val="none" w:sz="0" w:space="0" w:color="auto"/>
        <w:bottom w:val="none" w:sz="0" w:space="0" w:color="auto"/>
        <w:right w:val="none" w:sz="0" w:space="0" w:color="auto"/>
      </w:divBdr>
    </w:div>
    <w:div w:id="252861839">
      <w:bodyDiv w:val="1"/>
      <w:marLeft w:val="0"/>
      <w:marRight w:val="0"/>
      <w:marTop w:val="0"/>
      <w:marBottom w:val="0"/>
      <w:divBdr>
        <w:top w:val="none" w:sz="0" w:space="0" w:color="auto"/>
        <w:left w:val="none" w:sz="0" w:space="0" w:color="auto"/>
        <w:bottom w:val="none" w:sz="0" w:space="0" w:color="auto"/>
        <w:right w:val="none" w:sz="0" w:space="0" w:color="auto"/>
      </w:divBdr>
    </w:div>
    <w:div w:id="280844425">
      <w:bodyDiv w:val="1"/>
      <w:marLeft w:val="0"/>
      <w:marRight w:val="0"/>
      <w:marTop w:val="0"/>
      <w:marBottom w:val="0"/>
      <w:divBdr>
        <w:top w:val="none" w:sz="0" w:space="0" w:color="auto"/>
        <w:left w:val="none" w:sz="0" w:space="0" w:color="auto"/>
        <w:bottom w:val="none" w:sz="0" w:space="0" w:color="auto"/>
        <w:right w:val="none" w:sz="0" w:space="0" w:color="auto"/>
      </w:divBdr>
    </w:div>
    <w:div w:id="313917580">
      <w:bodyDiv w:val="1"/>
      <w:marLeft w:val="0"/>
      <w:marRight w:val="0"/>
      <w:marTop w:val="0"/>
      <w:marBottom w:val="0"/>
      <w:divBdr>
        <w:top w:val="none" w:sz="0" w:space="0" w:color="auto"/>
        <w:left w:val="none" w:sz="0" w:space="0" w:color="auto"/>
        <w:bottom w:val="none" w:sz="0" w:space="0" w:color="auto"/>
        <w:right w:val="none" w:sz="0" w:space="0" w:color="auto"/>
      </w:divBdr>
    </w:div>
    <w:div w:id="346102339">
      <w:bodyDiv w:val="1"/>
      <w:marLeft w:val="0"/>
      <w:marRight w:val="0"/>
      <w:marTop w:val="0"/>
      <w:marBottom w:val="0"/>
      <w:divBdr>
        <w:top w:val="none" w:sz="0" w:space="0" w:color="auto"/>
        <w:left w:val="none" w:sz="0" w:space="0" w:color="auto"/>
        <w:bottom w:val="none" w:sz="0" w:space="0" w:color="auto"/>
        <w:right w:val="none" w:sz="0" w:space="0" w:color="auto"/>
      </w:divBdr>
    </w:div>
    <w:div w:id="355615187">
      <w:bodyDiv w:val="1"/>
      <w:marLeft w:val="0"/>
      <w:marRight w:val="0"/>
      <w:marTop w:val="0"/>
      <w:marBottom w:val="0"/>
      <w:divBdr>
        <w:top w:val="none" w:sz="0" w:space="0" w:color="auto"/>
        <w:left w:val="none" w:sz="0" w:space="0" w:color="auto"/>
        <w:bottom w:val="none" w:sz="0" w:space="0" w:color="auto"/>
        <w:right w:val="none" w:sz="0" w:space="0" w:color="auto"/>
      </w:divBdr>
    </w:div>
    <w:div w:id="399141016">
      <w:bodyDiv w:val="1"/>
      <w:marLeft w:val="0"/>
      <w:marRight w:val="0"/>
      <w:marTop w:val="0"/>
      <w:marBottom w:val="0"/>
      <w:divBdr>
        <w:top w:val="none" w:sz="0" w:space="0" w:color="auto"/>
        <w:left w:val="none" w:sz="0" w:space="0" w:color="auto"/>
        <w:bottom w:val="none" w:sz="0" w:space="0" w:color="auto"/>
        <w:right w:val="none" w:sz="0" w:space="0" w:color="auto"/>
      </w:divBdr>
    </w:div>
    <w:div w:id="434256306">
      <w:bodyDiv w:val="1"/>
      <w:marLeft w:val="0"/>
      <w:marRight w:val="0"/>
      <w:marTop w:val="0"/>
      <w:marBottom w:val="0"/>
      <w:divBdr>
        <w:top w:val="none" w:sz="0" w:space="0" w:color="auto"/>
        <w:left w:val="none" w:sz="0" w:space="0" w:color="auto"/>
        <w:bottom w:val="none" w:sz="0" w:space="0" w:color="auto"/>
        <w:right w:val="none" w:sz="0" w:space="0" w:color="auto"/>
      </w:divBdr>
    </w:div>
    <w:div w:id="569390635">
      <w:bodyDiv w:val="1"/>
      <w:marLeft w:val="0"/>
      <w:marRight w:val="0"/>
      <w:marTop w:val="0"/>
      <w:marBottom w:val="0"/>
      <w:divBdr>
        <w:top w:val="none" w:sz="0" w:space="0" w:color="auto"/>
        <w:left w:val="none" w:sz="0" w:space="0" w:color="auto"/>
        <w:bottom w:val="none" w:sz="0" w:space="0" w:color="auto"/>
        <w:right w:val="none" w:sz="0" w:space="0" w:color="auto"/>
      </w:divBdr>
    </w:div>
    <w:div w:id="597833881">
      <w:bodyDiv w:val="1"/>
      <w:marLeft w:val="0"/>
      <w:marRight w:val="0"/>
      <w:marTop w:val="0"/>
      <w:marBottom w:val="0"/>
      <w:divBdr>
        <w:top w:val="none" w:sz="0" w:space="0" w:color="auto"/>
        <w:left w:val="none" w:sz="0" w:space="0" w:color="auto"/>
        <w:bottom w:val="none" w:sz="0" w:space="0" w:color="auto"/>
        <w:right w:val="none" w:sz="0" w:space="0" w:color="auto"/>
      </w:divBdr>
    </w:div>
    <w:div w:id="620109948">
      <w:bodyDiv w:val="1"/>
      <w:marLeft w:val="0"/>
      <w:marRight w:val="0"/>
      <w:marTop w:val="0"/>
      <w:marBottom w:val="0"/>
      <w:divBdr>
        <w:top w:val="none" w:sz="0" w:space="0" w:color="auto"/>
        <w:left w:val="none" w:sz="0" w:space="0" w:color="auto"/>
        <w:bottom w:val="none" w:sz="0" w:space="0" w:color="auto"/>
        <w:right w:val="none" w:sz="0" w:space="0" w:color="auto"/>
      </w:divBdr>
    </w:div>
    <w:div w:id="652569582">
      <w:bodyDiv w:val="1"/>
      <w:marLeft w:val="0"/>
      <w:marRight w:val="0"/>
      <w:marTop w:val="0"/>
      <w:marBottom w:val="0"/>
      <w:divBdr>
        <w:top w:val="none" w:sz="0" w:space="0" w:color="auto"/>
        <w:left w:val="none" w:sz="0" w:space="0" w:color="auto"/>
        <w:bottom w:val="none" w:sz="0" w:space="0" w:color="auto"/>
        <w:right w:val="none" w:sz="0" w:space="0" w:color="auto"/>
      </w:divBdr>
    </w:div>
    <w:div w:id="669262398">
      <w:bodyDiv w:val="1"/>
      <w:marLeft w:val="0"/>
      <w:marRight w:val="0"/>
      <w:marTop w:val="0"/>
      <w:marBottom w:val="0"/>
      <w:divBdr>
        <w:top w:val="none" w:sz="0" w:space="0" w:color="auto"/>
        <w:left w:val="none" w:sz="0" w:space="0" w:color="auto"/>
        <w:bottom w:val="none" w:sz="0" w:space="0" w:color="auto"/>
        <w:right w:val="none" w:sz="0" w:space="0" w:color="auto"/>
      </w:divBdr>
    </w:div>
    <w:div w:id="670522757">
      <w:bodyDiv w:val="1"/>
      <w:marLeft w:val="0"/>
      <w:marRight w:val="0"/>
      <w:marTop w:val="0"/>
      <w:marBottom w:val="0"/>
      <w:divBdr>
        <w:top w:val="none" w:sz="0" w:space="0" w:color="auto"/>
        <w:left w:val="none" w:sz="0" w:space="0" w:color="auto"/>
        <w:bottom w:val="none" w:sz="0" w:space="0" w:color="auto"/>
        <w:right w:val="none" w:sz="0" w:space="0" w:color="auto"/>
      </w:divBdr>
    </w:div>
    <w:div w:id="675496350">
      <w:bodyDiv w:val="1"/>
      <w:marLeft w:val="0"/>
      <w:marRight w:val="0"/>
      <w:marTop w:val="0"/>
      <w:marBottom w:val="0"/>
      <w:divBdr>
        <w:top w:val="none" w:sz="0" w:space="0" w:color="auto"/>
        <w:left w:val="none" w:sz="0" w:space="0" w:color="auto"/>
        <w:bottom w:val="none" w:sz="0" w:space="0" w:color="auto"/>
        <w:right w:val="none" w:sz="0" w:space="0" w:color="auto"/>
      </w:divBdr>
    </w:div>
    <w:div w:id="718823604">
      <w:bodyDiv w:val="1"/>
      <w:marLeft w:val="0"/>
      <w:marRight w:val="0"/>
      <w:marTop w:val="0"/>
      <w:marBottom w:val="0"/>
      <w:divBdr>
        <w:top w:val="none" w:sz="0" w:space="0" w:color="auto"/>
        <w:left w:val="none" w:sz="0" w:space="0" w:color="auto"/>
        <w:bottom w:val="none" w:sz="0" w:space="0" w:color="auto"/>
        <w:right w:val="none" w:sz="0" w:space="0" w:color="auto"/>
      </w:divBdr>
    </w:div>
    <w:div w:id="797722411">
      <w:bodyDiv w:val="1"/>
      <w:marLeft w:val="0"/>
      <w:marRight w:val="0"/>
      <w:marTop w:val="0"/>
      <w:marBottom w:val="0"/>
      <w:divBdr>
        <w:top w:val="none" w:sz="0" w:space="0" w:color="auto"/>
        <w:left w:val="none" w:sz="0" w:space="0" w:color="auto"/>
        <w:bottom w:val="none" w:sz="0" w:space="0" w:color="auto"/>
        <w:right w:val="none" w:sz="0" w:space="0" w:color="auto"/>
      </w:divBdr>
    </w:div>
    <w:div w:id="882210205">
      <w:bodyDiv w:val="1"/>
      <w:marLeft w:val="0"/>
      <w:marRight w:val="0"/>
      <w:marTop w:val="0"/>
      <w:marBottom w:val="0"/>
      <w:divBdr>
        <w:top w:val="none" w:sz="0" w:space="0" w:color="auto"/>
        <w:left w:val="none" w:sz="0" w:space="0" w:color="auto"/>
        <w:bottom w:val="none" w:sz="0" w:space="0" w:color="auto"/>
        <w:right w:val="none" w:sz="0" w:space="0" w:color="auto"/>
      </w:divBdr>
    </w:div>
    <w:div w:id="916473215">
      <w:bodyDiv w:val="1"/>
      <w:marLeft w:val="0"/>
      <w:marRight w:val="0"/>
      <w:marTop w:val="0"/>
      <w:marBottom w:val="0"/>
      <w:divBdr>
        <w:top w:val="none" w:sz="0" w:space="0" w:color="auto"/>
        <w:left w:val="none" w:sz="0" w:space="0" w:color="auto"/>
        <w:bottom w:val="none" w:sz="0" w:space="0" w:color="auto"/>
        <w:right w:val="none" w:sz="0" w:space="0" w:color="auto"/>
      </w:divBdr>
    </w:div>
    <w:div w:id="921911278">
      <w:bodyDiv w:val="1"/>
      <w:marLeft w:val="0"/>
      <w:marRight w:val="0"/>
      <w:marTop w:val="0"/>
      <w:marBottom w:val="0"/>
      <w:divBdr>
        <w:top w:val="none" w:sz="0" w:space="0" w:color="auto"/>
        <w:left w:val="none" w:sz="0" w:space="0" w:color="auto"/>
        <w:bottom w:val="none" w:sz="0" w:space="0" w:color="auto"/>
        <w:right w:val="none" w:sz="0" w:space="0" w:color="auto"/>
      </w:divBdr>
    </w:div>
    <w:div w:id="947933516">
      <w:bodyDiv w:val="1"/>
      <w:marLeft w:val="0"/>
      <w:marRight w:val="0"/>
      <w:marTop w:val="0"/>
      <w:marBottom w:val="0"/>
      <w:divBdr>
        <w:top w:val="none" w:sz="0" w:space="0" w:color="auto"/>
        <w:left w:val="none" w:sz="0" w:space="0" w:color="auto"/>
        <w:bottom w:val="none" w:sz="0" w:space="0" w:color="auto"/>
        <w:right w:val="none" w:sz="0" w:space="0" w:color="auto"/>
      </w:divBdr>
    </w:div>
    <w:div w:id="979111402">
      <w:bodyDiv w:val="1"/>
      <w:marLeft w:val="0"/>
      <w:marRight w:val="0"/>
      <w:marTop w:val="0"/>
      <w:marBottom w:val="0"/>
      <w:divBdr>
        <w:top w:val="none" w:sz="0" w:space="0" w:color="auto"/>
        <w:left w:val="none" w:sz="0" w:space="0" w:color="auto"/>
        <w:bottom w:val="none" w:sz="0" w:space="0" w:color="auto"/>
        <w:right w:val="none" w:sz="0" w:space="0" w:color="auto"/>
      </w:divBdr>
    </w:div>
    <w:div w:id="1084568559">
      <w:bodyDiv w:val="1"/>
      <w:marLeft w:val="0"/>
      <w:marRight w:val="0"/>
      <w:marTop w:val="0"/>
      <w:marBottom w:val="0"/>
      <w:divBdr>
        <w:top w:val="none" w:sz="0" w:space="0" w:color="auto"/>
        <w:left w:val="none" w:sz="0" w:space="0" w:color="auto"/>
        <w:bottom w:val="none" w:sz="0" w:space="0" w:color="auto"/>
        <w:right w:val="none" w:sz="0" w:space="0" w:color="auto"/>
      </w:divBdr>
    </w:div>
    <w:div w:id="1153568753">
      <w:bodyDiv w:val="1"/>
      <w:marLeft w:val="0"/>
      <w:marRight w:val="0"/>
      <w:marTop w:val="0"/>
      <w:marBottom w:val="0"/>
      <w:divBdr>
        <w:top w:val="none" w:sz="0" w:space="0" w:color="auto"/>
        <w:left w:val="none" w:sz="0" w:space="0" w:color="auto"/>
        <w:bottom w:val="none" w:sz="0" w:space="0" w:color="auto"/>
        <w:right w:val="none" w:sz="0" w:space="0" w:color="auto"/>
      </w:divBdr>
    </w:div>
    <w:div w:id="1270090858">
      <w:bodyDiv w:val="1"/>
      <w:marLeft w:val="0"/>
      <w:marRight w:val="0"/>
      <w:marTop w:val="0"/>
      <w:marBottom w:val="0"/>
      <w:divBdr>
        <w:top w:val="none" w:sz="0" w:space="0" w:color="auto"/>
        <w:left w:val="none" w:sz="0" w:space="0" w:color="auto"/>
        <w:bottom w:val="none" w:sz="0" w:space="0" w:color="auto"/>
        <w:right w:val="none" w:sz="0" w:space="0" w:color="auto"/>
      </w:divBdr>
    </w:div>
    <w:div w:id="1274559741">
      <w:bodyDiv w:val="1"/>
      <w:marLeft w:val="0"/>
      <w:marRight w:val="0"/>
      <w:marTop w:val="0"/>
      <w:marBottom w:val="0"/>
      <w:divBdr>
        <w:top w:val="none" w:sz="0" w:space="0" w:color="auto"/>
        <w:left w:val="none" w:sz="0" w:space="0" w:color="auto"/>
        <w:bottom w:val="none" w:sz="0" w:space="0" w:color="auto"/>
        <w:right w:val="none" w:sz="0" w:space="0" w:color="auto"/>
      </w:divBdr>
    </w:div>
    <w:div w:id="1376539923">
      <w:bodyDiv w:val="1"/>
      <w:marLeft w:val="0"/>
      <w:marRight w:val="0"/>
      <w:marTop w:val="0"/>
      <w:marBottom w:val="0"/>
      <w:divBdr>
        <w:top w:val="none" w:sz="0" w:space="0" w:color="auto"/>
        <w:left w:val="none" w:sz="0" w:space="0" w:color="auto"/>
        <w:bottom w:val="none" w:sz="0" w:space="0" w:color="auto"/>
        <w:right w:val="none" w:sz="0" w:space="0" w:color="auto"/>
      </w:divBdr>
    </w:div>
    <w:div w:id="1417092340">
      <w:bodyDiv w:val="1"/>
      <w:marLeft w:val="0"/>
      <w:marRight w:val="0"/>
      <w:marTop w:val="0"/>
      <w:marBottom w:val="0"/>
      <w:divBdr>
        <w:top w:val="none" w:sz="0" w:space="0" w:color="auto"/>
        <w:left w:val="none" w:sz="0" w:space="0" w:color="auto"/>
        <w:bottom w:val="none" w:sz="0" w:space="0" w:color="auto"/>
        <w:right w:val="none" w:sz="0" w:space="0" w:color="auto"/>
      </w:divBdr>
    </w:div>
    <w:div w:id="1434087681">
      <w:bodyDiv w:val="1"/>
      <w:marLeft w:val="0"/>
      <w:marRight w:val="0"/>
      <w:marTop w:val="0"/>
      <w:marBottom w:val="0"/>
      <w:divBdr>
        <w:top w:val="none" w:sz="0" w:space="0" w:color="auto"/>
        <w:left w:val="none" w:sz="0" w:space="0" w:color="auto"/>
        <w:bottom w:val="none" w:sz="0" w:space="0" w:color="auto"/>
        <w:right w:val="none" w:sz="0" w:space="0" w:color="auto"/>
      </w:divBdr>
    </w:div>
    <w:div w:id="1479300495">
      <w:bodyDiv w:val="1"/>
      <w:marLeft w:val="0"/>
      <w:marRight w:val="0"/>
      <w:marTop w:val="0"/>
      <w:marBottom w:val="0"/>
      <w:divBdr>
        <w:top w:val="none" w:sz="0" w:space="0" w:color="auto"/>
        <w:left w:val="none" w:sz="0" w:space="0" w:color="auto"/>
        <w:bottom w:val="none" w:sz="0" w:space="0" w:color="auto"/>
        <w:right w:val="none" w:sz="0" w:space="0" w:color="auto"/>
      </w:divBdr>
    </w:div>
    <w:div w:id="1481388087">
      <w:bodyDiv w:val="1"/>
      <w:marLeft w:val="0"/>
      <w:marRight w:val="0"/>
      <w:marTop w:val="0"/>
      <w:marBottom w:val="0"/>
      <w:divBdr>
        <w:top w:val="none" w:sz="0" w:space="0" w:color="auto"/>
        <w:left w:val="none" w:sz="0" w:space="0" w:color="auto"/>
        <w:bottom w:val="none" w:sz="0" w:space="0" w:color="auto"/>
        <w:right w:val="none" w:sz="0" w:space="0" w:color="auto"/>
      </w:divBdr>
    </w:div>
    <w:div w:id="1502357737">
      <w:bodyDiv w:val="1"/>
      <w:marLeft w:val="0"/>
      <w:marRight w:val="0"/>
      <w:marTop w:val="0"/>
      <w:marBottom w:val="0"/>
      <w:divBdr>
        <w:top w:val="none" w:sz="0" w:space="0" w:color="auto"/>
        <w:left w:val="none" w:sz="0" w:space="0" w:color="auto"/>
        <w:bottom w:val="none" w:sz="0" w:space="0" w:color="auto"/>
        <w:right w:val="none" w:sz="0" w:space="0" w:color="auto"/>
      </w:divBdr>
    </w:div>
    <w:div w:id="1647854782">
      <w:bodyDiv w:val="1"/>
      <w:marLeft w:val="0"/>
      <w:marRight w:val="0"/>
      <w:marTop w:val="0"/>
      <w:marBottom w:val="0"/>
      <w:divBdr>
        <w:top w:val="none" w:sz="0" w:space="0" w:color="auto"/>
        <w:left w:val="none" w:sz="0" w:space="0" w:color="auto"/>
        <w:bottom w:val="none" w:sz="0" w:space="0" w:color="auto"/>
        <w:right w:val="none" w:sz="0" w:space="0" w:color="auto"/>
      </w:divBdr>
    </w:div>
    <w:div w:id="1674333992">
      <w:bodyDiv w:val="1"/>
      <w:marLeft w:val="0"/>
      <w:marRight w:val="0"/>
      <w:marTop w:val="0"/>
      <w:marBottom w:val="0"/>
      <w:divBdr>
        <w:top w:val="none" w:sz="0" w:space="0" w:color="auto"/>
        <w:left w:val="none" w:sz="0" w:space="0" w:color="auto"/>
        <w:bottom w:val="none" w:sz="0" w:space="0" w:color="auto"/>
        <w:right w:val="none" w:sz="0" w:space="0" w:color="auto"/>
      </w:divBdr>
    </w:div>
    <w:div w:id="1676684142">
      <w:bodyDiv w:val="1"/>
      <w:marLeft w:val="0"/>
      <w:marRight w:val="0"/>
      <w:marTop w:val="0"/>
      <w:marBottom w:val="0"/>
      <w:divBdr>
        <w:top w:val="none" w:sz="0" w:space="0" w:color="auto"/>
        <w:left w:val="none" w:sz="0" w:space="0" w:color="auto"/>
        <w:bottom w:val="none" w:sz="0" w:space="0" w:color="auto"/>
        <w:right w:val="none" w:sz="0" w:space="0" w:color="auto"/>
      </w:divBdr>
    </w:div>
    <w:div w:id="1688680987">
      <w:bodyDiv w:val="1"/>
      <w:marLeft w:val="0"/>
      <w:marRight w:val="0"/>
      <w:marTop w:val="0"/>
      <w:marBottom w:val="0"/>
      <w:divBdr>
        <w:top w:val="none" w:sz="0" w:space="0" w:color="auto"/>
        <w:left w:val="none" w:sz="0" w:space="0" w:color="auto"/>
        <w:bottom w:val="none" w:sz="0" w:space="0" w:color="auto"/>
        <w:right w:val="none" w:sz="0" w:space="0" w:color="auto"/>
      </w:divBdr>
    </w:div>
    <w:div w:id="1714036977">
      <w:bodyDiv w:val="1"/>
      <w:marLeft w:val="0"/>
      <w:marRight w:val="0"/>
      <w:marTop w:val="0"/>
      <w:marBottom w:val="0"/>
      <w:divBdr>
        <w:top w:val="none" w:sz="0" w:space="0" w:color="auto"/>
        <w:left w:val="none" w:sz="0" w:space="0" w:color="auto"/>
        <w:bottom w:val="none" w:sz="0" w:space="0" w:color="auto"/>
        <w:right w:val="none" w:sz="0" w:space="0" w:color="auto"/>
      </w:divBdr>
    </w:div>
    <w:div w:id="1722242827">
      <w:bodyDiv w:val="1"/>
      <w:marLeft w:val="0"/>
      <w:marRight w:val="0"/>
      <w:marTop w:val="0"/>
      <w:marBottom w:val="0"/>
      <w:divBdr>
        <w:top w:val="none" w:sz="0" w:space="0" w:color="auto"/>
        <w:left w:val="none" w:sz="0" w:space="0" w:color="auto"/>
        <w:bottom w:val="none" w:sz="0" w:space="0" w:color="auto"/>
        <w:right w:val="none" w:sz="0" w:space="0" w:color="auto"/>
      </w:divBdr>
    </w:div>
    <w:div w:id="1765220672">
      <w:bodyDiv w:val="1"/>
      <w:marLeft w:val="0"/>
      <w:marRight w:val="0"/>
      <w:marTop w:val="0"/>
      <w:marBottom w:val="0"/>
      <w:divBdr>
        <w:top w:val="none" w:sz="0" w:space="0" w:color="auto"/>
        <w:left w:val="none" w:sz="0" w:space="0" w:color="auto"/>
        <w:bottom w:val="none" w:sz="0" w:space="0" w:color="auto"/>
        <w:right w:val="none" w:sz="0" w:space="0" w:color="auto"/>
      </w:divBdr>
    </w:div>
    <w:div w:id="1841237000">
      <w:bodyDiv w:val="1"/>
      <w:marLeft w:val="0"/>
      <w:marRight w:val="0"/>
      <w:marTop w:val="0"/>
      <w:marBottom w:val="0"/>
      <w:divBdr>
        <w:top w:val="none" w:sz="0" w:space="0" w:color="auto"/>
        <w:left w:val="none" w:sz="0" w:space="0" w:color="auto"/>
        <w:bottom w:val="none" w:sz="0" w:space="0" w:color="auto"/>
        <w:right w:val="none" w:sz="0" w:space="0" w:color="auto"/>
      </w:divBdr>
    </w:div>
    <w:div w:id="1862544650">
      <w:bodyDiv w:val="1"/>
      <w:marLeft w:val="0"/>
      <w:marRight w:val="0"/>
      <w:marTop w:val="0"/>
      <w:marBottom w:val="0"/>
      <w:divBdr>
        <w:top w:val="none" w:sz="0" w:space="0" w:color="auto"/>
        <w:left w:val="none" w:sz="0" w:space="0" w:color="auto"/>
        <w:bottom w:val="none" w:sz="0" w:space="0" w:color="auto"/>
        <w:right w:val="none" w:sz="0" w:space="0" w:color="auto"/>
      </w:divBdr>
    </w:div>
    <w:div w:id="1921329173">
      <w:bodyDiv w:val="1"/>
      <w:marLeft w:val="0"/>
      <w:marRight w:val="0"/>
      <w:marTop w:val="0"/>
      <w:marBottom w:val="0"/>
      <w:divBdr>
        <w:top w:val="none" w:sz="0" w:space="0" w:color="auto"/>
        <w:left w:val="none" w:sz="0" w:space="0" w:color="auto"/>
        <w:bottom w:val="none" w:sz="0" w:space="0" w:color="auto"/>
        <w:right w:val="none" w:sz="0" w:space="0" w:color="auto"/>
      </w:divBdr>
    </w:div>
    <w:div w:id="1954481258">
      <w:bodyDiv w:val="1"/>
      <w:marLeft w:val="0"/>
      <w:marRight w:val="0"/>
      <w:marTop w:val="0"/>
      <w:marBottom w:val="0"/>
      <w:divBdr>
        <w:top w:val="none" w:sz="0" w:space="0" w:color="auto"/>
        <w:left w:val="none" w:sz="0" w:space="0" w:color="auto"/>
        <w:bottom w:val="none" w:sz="0" w:space="0" w:color="auto"/>
        <w:right w:val="none" w:sz="0" w:space="0" w:color="auto"/>
      </w:divBdr>
    </w:div>
    <w:div w:id="1973751623">
      <w:bodyDiv w:val="1"/>
      <w:marLeft w:val="0"/>
      <w:marRight w:val="0"/>
      <w:marTop w:val="0"/>
      <w:marBottom w:val="0"/>
      <w:divBdr>
        <w:top w:val="none" w:sz="0" w:space="0" w:color="auto"/>
        <w:left w:val="none" w:sz="0" w:space="0" w:color="auto"/>
        <w:bottom w:val="none" w:sz="0" w:space="0" w:color="auto"/>
        <w:right w:val="none" w:sz="0" w:space="0" w:color="auto"/>
      </w:divBdr>
    </w:div>
    <w:div w:id="2019964186">
      <w:bodyDiv w:val="1"/>
      <w:marLeft w:val="0"/>
      <w:marRight w:val="0"/>
      <w:marTop w:val="0"/>
      <w:marBottom w:val="0"/>
      <w:divBdr>
        <w:top w:val="none" w:sz="0" w:space="0" w:color="auto"/>
        <w:left w:val="none" w:sz="0" w:space="0" w:color="auto"/>
        <w:bottom w:val="none" w:sz="0" w:space="0" w:color="auto"/>
        <w:right w:val="none" w:sz="0" w:space="0" w:color="auto"/>
      </w:divBdr>
    </w:div>
    <w:div w:id="2027168930">
      <w:bodyDiv w:val="1"/>
      <w:marLeft w:val="0"/>
      <w:marRight w:val="0"/>
      <w:marTop w:val="0"/>
      <w:marBottom w:val="0"/>
      <w:divBdr>
        <w:top w:val="none" w:sz="0" w:space="0" w:color="auto"/>
        <w:left w:val="none" w:sz="0" w:space="0" w:color="auto"/>
        <w:bottom w:val="none" w:sz="0" w:space="0" w:color="auto"/>
        <w:right w:val="none" w:sz="0" w:space="0" w:color="auto"/>
      </w:divBdr>
    </w:div>
    <w:div w:id="2038964986">
      <w:bodyDiv w:val="1"/>
      <w:marLeft w:val="0"/>
      <w:marRight w:val="0"/>
      <w:marTop w:val="0"/>
      <w:marBottom w:val="0"/>
      <w:divBdr>
        <w:top w:val="none" w:sz="0" w:space="0" w:color="auto"/>
        <w:left w:val="none" w:sz="0" w:space="0" w:color="auto"/>
        <w:bottom w:val="none" w:sz="0" w:space="0" w:color="auto"/>
        <w:right w:val="none" w:sz="0" w:space="0" w:color="auto"/>
      </w:divBdr>
    </w:div>
    <w:div w:id="2097170725">
      <w:bodyDiv w:val="1"/>
      <w:marLeft w:val="0"/>
      <w:marRight w:val="0"/>
      <w:marTop w:val="0"/>
      <w:marBottom w:val="0"/>
      <w:divBdr>
        <w:top w:val="none" w:sz="0" w:space="0" w:color="auto"/>
        <w:left w:val="none" w:sz="0" w:space="0" w:color="auto"/>
        <w:bottom w:val="none" w:sz="0" w:space="0" w:color="auto"/>
        <w:right w:val="none" w:sz="0" w:space="0" w:color="auto"/>
      </w:divBdr>
    </w:div>
    <w:div w:id="2098554327">
      <w:bodyDiv w:val="1"/>
      <w:marLeft w:val="0"/>
      <w:marRight w:val="0"/>
      <w:marTop w:val="0"/>
      <w:marBottom w:val="0"/>
      <w:divBdr>
        <w:top w:val="none" w:sz="0" w:space="0" w:color="auto"/>
        <w:left w:val="none" w:sz="0" w:space="0" w:color="auto"/>
        <w:bottom w:val="none" w:sz="0" w:space="0" w:color="auto"/>
        <w:right w:val="none" w:sz="0" w:space="0" w:color="auto"/>
      </w:divBdr>
    </w:div>
    <w:div w:id="211447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Mejía2004</b:Tag>
    <b:SourceType>JournalArticle</b:SourceType>
    <b:Guid>{C2D376A4-8C05-4C1F-92AC-8EC4A7E9195B}</b:Guid>
    <b:Title>Sobre la investigación cualitativa. Nuevos conceptos y campos de desarrollo</b:Title>
    <b:Year>2004</b:Year>
    <b:Author>
      <b:Author>
        <b:NameList>
          <b:Person>
            <b:Last>Mejía</b:Last>
            <b:First>Julio</b:First>
          </b:Person>
        </b:NameList>
      </b:Author>
    </b:Author>
    <b:JournalName>Investigaciones sociales</b:JournalName>
    <b:Pages>277-279</b:Pages>
    <b:RefOrder>1</b:RefOrder>
  </b:Source>
  <b:Source>
    <b:Tag>Stake1999</b:Tag>
    <b:SourceType>Book</b:SourceType>
    <b:Guid>{97F5DA67-7318-4BC9-B554-42C5670B06E9}</b:Guid>
    <b:Author>
      <b:Author>
        <b:NameList>
          <b:Person>
            <b:Last>Stake</b:Last>
            <b:First>Robert</b:First>
            <b:Middle>E.</b:Middle>
          </b:Person>
        </b:NameList>
      </b:Author>
    </b:Author>
    <b:Title>Investigación con estudio de casos</b:Title>
    <b:Year>1999</b:Year>
    <b:City>Madrid</b:City>
    <b:Publisher>Morata</b:Publisher>
    <b:RefOrder>2</b:RefOrder>
  </b:Source>
  <b:Source>
    <b:Tag>Nas01</b:Tag>
    <b:SourceType>Book</b:SourceType>
    <b:Guid>{C6856A90-8140-4696-AC84-63A19E2CA35E}</b:Guid>
    <b:Author>
      <b:Author>
        <b:NameList>
          <b:Person>
            <b:Last>Nasio</b:Last>
            <b:First>Juan</b:First>
            <b:Middle>David</b:Middle>
          </b:Person>
        </b:NameList>
      </b:Author>
      <b:Translator>
        <b:NameList>
          <b:Person>
            <b:Last>Bixio</b:Last>
            <b:First>Alcira</b:First>
          </b:Person>
        </b:NameList>
      </b:Translator>
    </b:Author>
    <b:Title>Los más famosos casos de psicosis</b:Title>
    <b:Year>2001</b:Year>
    <b:City>Barcelona</b:City>
    <b:Publisher>Paidos</b:Publisher>
    <b:RefOrder>4</b:RefOrder>
  </b:Source>
  <b:Source>
    <b:Tag>Fer00</b:Tag>
    <b:SourceType>Book</b:SourceType>
    <b:Guid>{452D6B45-4D05-47CF-B75E-F02EE62FF54F}</b:Guid>
    <b:Author>
      <b:Author>
        <b:NameList>
          <b:Person>
            <b:Last>González</b:Last>
            <b:First>Fernando</b:First>
          </b:Person>
        </b:NameList>
      </b:Author>
    </b:Author>
    <b:Title>Investigación cualitativa</b:Title>
    <b:Year>2000</b:Year>
    <b:City>México</b:City>
    <b:Publisher>Thomson</b:Publisher>
    <b:RefOrder>3</b:RefOrder>
  </b:Source>
  <b:Source>
    <b:Tag>Pérez94</b:Tag>
    <b:SourceType>Book</b:SourceType>
    <b:Guid>{950CC0AE-C603-4896-9704-7B99B300BAA1}</b:Guid>
    <b:Author>
      <b:Author>
        <b:NameList>
          <b:Person>
            <b:Last>Pérez</b:Last>
            <b:First>Gloria</b:First>
          </b:Person>
        </b:NameList>
      </b:Author>
    </b:Author>
    <b:Title>Investigación Cualitativa. Retos e interrogantes II. Técnicas y análisis de datos</b:Title>
    <b:Year>1994</b:Year>
    <b:City>Madrid</b:City>
    <b:Publisher>La muralla</b:Publisher>
    <b:RefOrder>5</b:RefOrder>
  </b:Source>
  <b:Source>
    <b:Tag>Nav07</b:Tag>
    <b:SourceType>BookSection</b:SourceType>
    <b:Guid>{5D854FFE-5665-42C1-A24D-F56142341AFF}</b:Guid>
    <b:Title>Análisis de contenido</b:Title>
    <b:Year>2007</b:Year>
    <b:Author>
      <b:Author>
        <b:NameList>
          <b:Person>
            <b:Last>Navarro </b:Last>
            <b:First>Pablo</b:First>
          </b:Person>
          <b:Person>
            <b:Last>Díaz</b:Last>
            <b:First>Capitolina</b:First>
          </b:Person>
        </b:NameList>
      </b:Author>
      <b:BookAuthor>
        <b:NameList>
          <b:Person>
            <b:Last>Delgado</b:Last>
            <b:First>Juan</b:First>
            <b:Middle>Manuel</b:Middle>
          </b:Person>
          <b:Person>
            <b:Last>Gutiérrez</b:Last>
            <b:First>Juan</b:First>
          </b:Person>
        </b:NameList>
      </b:BookAuthor>
    </b:Author>
    <b:BookTitle>MÉTODOS Y TÉCNICAS CUALITATIVAS DE INVESTIGACIÓN EN CIENCIAS SOCIALES</b:BookTitle>
    <b:Pages>177-223</b:Pages>
    <b:ChapterNumber>7</b:ChapterNumber>
    <b:RefOrder>7</b:RefOrder>
  </b:Source>
  <b:Source>
    <b:Tag>Abe02</b:Tag>
    <b:SourceType>Book</b:SourceType>
    <b:Guid>{2BE5D729-7045-4CD8-9D54-DB76F1EA81FD}</b:Guid>
    <b:Title>Las técnicas de análisis de contenido. Una revisión actualizada</b:Title>
    <b:Year>2002</b:Year>
    <b:City>Sevilla</b:City>
    <b:Author>
      <b:Author>
        <b:NameList>
          <b:Person>
            <b:Last>Abela</b:Last>
            <b:First>Jaime</b:First>
          </b:Person>
        </b:NameList>
      </b:Author>
    </b:Author>
    <b:RefOrder>6</b:RefOrder>
  </b:Source>
</b:Sources>
</file>

<file path=customXml/itemProps1.xml><?xml version="1.0" encoding="utf-8"?>
<ds:datastoreItem xmlns:ds="http://schemas.openxmlformats.org/officeDocument/2006/customXml" ds:itemID="{8F1C6B89-1A24-4F48-A86E-56E06BC56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13</Pages>
  <Words>7198</Words>
  <Characters>39589</Characters>
  <Application>Microsoft Office Word</Application>
  <DocSecurity>0</DocSecurity>
  <Lines>329</Lines>
  <Paragraphs>93</Paragraphs>
  <ScaleCrop>false</ScaleCrop>
  <Company/>
  <LinksUpToDate>false</LinksUpToDate>
  <CharactersWithSpaces>46694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Belén Ávalos Ferrari (gabriela.avalos)</dc:creator>
  <cp:keywords/>
  <dc:description/>
  <cp:lastModifiedBy>Gabriela Belén Ávalos Ferrari (gabriela.avalos)</cp:lastModifiedBy>
  <cp:revision>322</cp:revision>
  <dcterms:created xsi:type="dcterms:W3CDTF">2023-06-06T01:00:00Z</dcterms:created>
  <dcterms:modified xsi:type="dcterms:W3CDTF">2023-12-07T15:58:00Z</dcterms:modified>
</cp:coreProperties>
</file>