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jc w:val="center"/>
        <w:rPr>
          <w:rFonts w:ascii="Arial" w:cs="Arial" w:eastAsia="Arial" w:hAnsi="Arial"/>
          <w:sz w:val="20"/>
          <w:szCs w:val="20"/>
          <w:vertAlign w:val="baseline"/>
        </w:rPr>
      </w:pPr>
      <w:r w:rsidDel="00000000" w:rsidR="00000000" w:rsidRPr="00000000">
        <w:rPr>
          <w:rFonts w:ascii="Arial" w:cs="Arial" w:eastAsia="Arial" w:hAnsi="Arial"/>
          <w:b w:val="1"/>
          <w:sz w:val="20"/>
          <w:szCs w:val="20"/>
          <w:vertAlign w:val="baseline"/>
          <w:rtl w:val="0"/>
        </w:rPr>
        <w:t xml:space="preserve">PAUTA PRESENTACIÓN PROYECTO DE MEMORIA</w:t>
      </w:r>
      <w:r w:rsidDel="00000000" w:rsidR="00000000" w:rsidRPr="00000000">
        <w:rPr>
          <w:rtl w:val="0"/>
        </w:rPr>
      </w:r>
    </w:p>
    <w:p w:rsidR="00000000" w:rsidDel="00000000" w:rsidP="00000000" w:rsidRDefault="00000000" w:rsidRPr="00000000" w14:paraId="00000001">
      <w:pPr>
        <w:rPr>
          <w:rFonts w:ascii="Arial" w:cs="Arial" w:eastAsia="Arial" w:hAnsi="Arial"/>
          <w:sz w:val="20"/>
          <w:szCs w:val="20"/>
          <w:u w:val="single"/>
          <w:vertAlign w:val="baseline"/>
        </w:rPr>
      </w:pPr>
      <w:r w:rsidDel="00000000" w:rsidR="00000000" w:rsidRPr="00000000">
        <w:rPr>
          <w:rFonts w:ascii="Arial" w:cs="Arial" w:eastAsia="Arial" w:hAnsi="Arial"/>
          <w:b w:val="1"/>
          <w:sz w:val="20"/>
          <w:szCs w:val="20"/>
          <w:u w:val="single"/>
          <w:vertAlign w:val="baseline"/>
          <w:rtl w:val="0"/>
        </w:rPr>
        <w:t xml:space="preserve">I. Datos personales</w:t>
      </w:r>
      <w:r w:rsidDel="00000000" w:rsidR="00000000" w:rsidRPr="00000000">
        <w:rPr>
          <w:rtl w:val="0"/>
        </w:rPr>
      </w:r>
    </w:p>
    <w:tbl>
      <w:tblPr>
        <w:tblStyle w:val="Table1"/>
        <w:tblW w:w="943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60"/>
        <w:gridCol w:w="6772"/>
        <w:tblGridChange w:id="0">
          <w:tblGrid>
            <w:gridCol w:w="2660"/>
            <w:gridCol w:w="6772"/>
          </w:tblGrid>
        </w:tblGridChange>
      </w:tblGrid>
      <w:tr>
        <w:tc>
          <w:tcPr>
            <w:vAlign w:val="top"/>
          </w:tcPr>
          <w:p w:rsidR="00000000" w:rsidDel="00000000" w:rsidP="00000000" w:rsidRDefault="00000000" w:rsidRPr="00000000" w14:paraId="00000002">
            <w:pPr>
              <w:rPr>
                <w:rFonts w:ascii="Arial" w:cs="Arial" w:eastAsia="Arial" w:hAnsi="Arial"/>
                <w:b w:val="1"/>
                <w:sz w:val="20"/>
                <w:szCs w:val="20"/>
                <w:vertAlign w:val="baseline"/>
              </w:rPr>
            </w:pPr>
            <w:r w:rsidDel="00000000" w:rsidR="00000000" w:rsidRPr="00000000">
              <w:rPr>
                <w:rFonts w:ascii="Arial" w:cs="Arial" w:eastAsia="Arial" w:hAnsi="Arial"/>
                <w:b w:val="1"/>
                <w:sz w:val="20"/>
                <w:szCs w:val="20"/>
                <w:vertAlign w:val="baseline"/>
                <w:rtl w:val="0"/>
              </w:rPr>
              <w:t xml:space="preserve">Nombre del estudiante</w:t>
            </w:r>
          </w:p>
        </w:tc>
        <w:tc>
          <w:tcPr>
            <w:vAlign w:val="top"/>
          </w:tcPr>
          <w:p w:rsidR="00000000" w:rsidDel="00000000" w:rsidP="00000000" w:rsidRDefault="00000000" w:rsidRPr="00000000" w14:paraId="00000003">
            <w:pPr>
              <w:rPr>
                <w:rFonts w:ascii="Arial" w:cs="Arial" w:eastAsia="Arial" w:hAnsi="Arial"/>
                <w:sz w:val="20"/>
                <w:szCs w:val="20"/>
              </w:rPr>
            </w:pPr>
            <w:r w:rsidDel="00000000" w:rsidR="00000000" w:rsidRPr="00000000">
              <w:rPr>
                <w:rFonts w:ascii="Arial" w:cs="Arial" w:eastAsia="Arial" w:hAnsi="Arial"/>
                <w:sz w:val="20"/>
                <w:szCs w:val="20"/>
                <w:rtl w:val="0"/>
              </w:rPr>
              <w:t xml:space="preserve">Carla Castro Quintanilla</w:t>
            </w:r>
          </w:p>
          <w:p w:rsidR="00000000" w:rsidDel="00000000" w:rsidP="00000000" w:rsidRDefault="00000000" w:rsidRPr="00000000" w14:paraId="00000004">
            <w:pPr>
              <w:spacing w:after="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Claudio Moraga Mendoza</w:t>
            </w:r>
          </w:p>
        </w:tc>
      </w:tr>
    </w:tbl>
    <w:p w:rsidR="00000000" w:rsidDel="00000000" w:rsidP="00000000" w:rsidRDefault="00000000" w:rsidRPr="00000000" w14:paraId="00000005">
      <w:pPr>
        <w:rPr>
          <w:rFonts w:ascii="Arial" w:cs="Arial" w:eastAsia="Arial" w:hAnsi="Arial"/>
          <w:sz w:val="20"/>
          <w:szCs w:val="20"/>
          <w:vertAlign w:val="baseline"/>
        </w:rPr>
      </w:pPr>
      <w:r w:rsidDel="00000000" w:rsidR="00000000" w:rsidRPr="00000000">
        <w:rPr>
          <w:rtl w:val="0"/>
        </w:rPr>
      </w:r>
    </w:p>
    <w:tbl>
      <w:tblPr>
        <w:tblStyle w:val="Table2"/>
        <w:tblW w:w="943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60"/>
        <w:gridCol w:w="6772"/>
        <w:tblGridChange w:id="0">
          <w:tblGrid>
            <w:gridCol w:w="2660"/>
            <w:gridCol w:w="6772"/>
          </w:tblGrid>
        </w:tblGridChange>
      </w:tblGrid>
      <w:tr>
        <w:tc>
          <w:tcPr>
            <w:vAlign w:val="top"/>
          </w:tcPr>
          <w:p w:rsidR="00000000" w:rsidDel="00000000" w:rsidP="00000000" w:rsidRDefault="00000000" w:rsidRPr="00000000" w14:paraId="00000006">
            <w:pPr>
              <w:rPr>
                <w:rFonts w:ascii="Arial" w:cs="Arial" w:eastAsia="Arial" w:hAnsi="Arial"/>
                <w:b w:val="1"/>
                <w:sz w:val="20"/>
                <w:szCs w:val="20"/>
                <w:vertAlign w:val="baseline"/>
              </w:rPr>
            </w:pPr>
            <w:r w:rsidDel="00000000" w:rsidR="00000000" w:rsidRPr="00000000">
              <w:rPr>
                <w:rFonts w:ascii="Arial" w:cs="Arial" w:eastAsia="Arial" w:hAnsi="Arial"/>
                <w:b w:val="1"/>
                <w:sz w:val="20"/>
                <w:szCs w:val="20"/>
                <w:vertAlign w:val="baseline"/>
                <w:rtl w:val="0"/>
              </w:rPr>
              <w:t xml:space="preserve">Rut del estudiante</w:t>
            </w:r>
          </w:p>
        </w:tc>
        <w:tc>
          <w:tcPr>
            <w:vAlign w:val="top"/>
          </w:tcPr>
          <w:p w:rsidR="00000000" w:rsidDel="00000000" w:rsidP="00000000" w:rsidRDefault="00000000" w:rsidRPr="00000000" w14:paraId="00000007">
            <w:pPr>
              <w:rPr>
                <w:rFonts w:ascii="Arial" w:cs="Arial" w:eastAsia="Arial" w:hAnsi="Arial"/>
                <w:sz w:val="20"/>
                <w:szCs w:val="20"/>
              </w:rPr>
            </w:pPr>
            <w:r w:rsidDel="00000000" w:rsidR="00000000" w:rsidRPr="00000000">
              <w:rPr>
                <w:rFonts w:ascii="Arial" w:cs="Arial" w:eastAsia="Arial" w:hAnsi="Arial"/>
                <w:sz w:val="20"/>
                <w:szCs w:val="20"/>
                <w:rtl w:val="0"/>
              </w:rPr>
              <w:t xml:space="preserve">19.032.700-0</w:t>
            </w:r>
          </w:p>
          <w:p w:rsidR="00000000" w:rsidDel="00000000" w:rsidP="00000000" w:rsidRDefault="00000000" w:rsidRPr="00000000" w14:paraId="00000008">
            <w:pPr>
              <w:rPr>
                <w:rFonts w:ascii="Arial" w:cs="Arial" w:eastAsia="Arial" w:hAnsi="Arial"/>
                <w:sz w:val="20"/>
                <w:szCs w:val="20"/>
              </w:rPr>
            </w:pPr>
            <w:r w:rsidDel="00000000" w:rsidR="00000000" w:rsidRPr="00000000">
              <w:rPr>
                <w:rFonts w:ascii="Arial" w:cs="Arial" w:eastAsia="Arial" w:hAnsi="Arial"/>
                <w:sz w:val="20"/>
                <w:szCs w:val="20"/>
                <w:rtl w:val="0"/>
              </w:rPr>
              <w:t xml:space="preserve">19.077.957-2</w:t>
            </w:r>
          </w:p>
        </w:tc>
      </w:tr>
    </w:tbl>
    <w:p w:rsidR="00000000" w:rsidDel="00000000" w:rsidP="00000000" w:rsidRDefault="00000000" w:rsidRPr="00000000" w14:paraId="00000009">
      <w:pPr>
        <w:rPr>
          <w:rFonts w:ascii="Arial" w:cs="Arial" w:eastAsia="Arial" w:hAnsi="Arial"/>
          <w:sz w:val="20"/>
          <w:szCs w:val="20"/>
          <w:vertAlign w:val="baseline"/>
        </w:rPr>
      </w:pPr>
      <w:r w:rsidDel="00000000" w:rsidR="00000000" w:rsidRPr="00000000">
        <w:rPr>
          <w:rtl w:val="0"/>
        </w:rPr>
      </w:r>
    </w:p>
    <w:tbl>
      <w:tblPr>
        <w:tblStyle w:val="Table3"/>
        <w:tblW w:w="943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60"/>
        <w:gridCol w:w="6772"/>
        <w:tblGridChange w:id="0">
          <w:tblGrid>
            <w:gridCol w:w="2660"/>
            <w:gridCol w:w="6772"/>
          </w:tblGrid>
        </w:tblGridChange>
      </w:tblGrid>
      <w:tr>
        <w:tc>
          <w:tcPr>
            <w:vAlign w:val="top"/>
          </w:tcPr>
          <w:p w:rsidR="00000000" w:rsidDel="00000000" w:rsidP="00000000" w:rsidRDefault="00000000" w:rsidRPr="00000000" w14:paraId="0000000A">
            <w:pPr>
              <w:rPr>
                <w:rFonts w:ascii="Arial" w:cs="Arial" w:eastAsia="Arial" w:hAnsi="Arial"/>
                <w:b w:val="1"/>
                <w:sz w:val="20"/>
                <w:szCs w:val="20"/>
                <w:vertAlign w:val="baseline"/>
              </w:rPr>
            </w:pPr>
            <w:r w:rsidDel="00000000" w:rsidR="00000000" w:rsidRPr="00000000">
              <w:rPr>
                <w:rFonts w:ascii="Arial" w:cs="Arial" w:eastAsia="Arial" w:hAnsi="Arial"/>
                <w:b w:val="1"/>
                <w:sz w:val="20"/>
                <w:szCs w:val="20"/>
                <w:vertAlign w:val="baseline"/>
                <w:rtl w:val="0"/>
              </w:rPr>
              <w:t xml:space="preserve">Profesor Patrocinante</w:t>
            </w:r>
          </w:p>
        </w:tc>
        <w:tc>
          <w:tcPr>
            <w:vAlign w:val="top"/>
          </w:tcPr>
          <w:p w:rsidR="00000000" w:rsidDel="00000000" w:rsidP="00000000" w:rsidRDefault="00000000" w:rsidRPr="00000000" w14:paraId="0000000B">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Juan Gonzalez</w:t>
            </w:r>
            <w:r w:rsidDel="00000000" w:rsidR="00000000" w:rsidRPr="00000000">
              <w:rPr>
                <w:rtl w:val="0"/>
              </w:rPr>
            </w:r>
          </w:p>
        </w:tc>
      </w:tr>
    </w:tbl>
    <w:p w:rsidR="00000000" w:rsidDel="00000000" w:rsidP="00000000" w:rsidRDefault="00000000" w:rsidRPr="00000000" w14:paraId="0000000C">
      <w:pPr>
        <w:rPr>
          <w:rFonts w:ascii="Arial" w:cs="Arial" w:eastAsia="Arial" w:hAnsi="Arial"/>
          <w:sz w:val="20"/>
          <w:szCs w:val="20"/>
          <w:vertAlign w:val="baseline"/>
        </w:rPr>
      </w:pPr>
      <w:r w:rsidDel="00000000" w:rsidR="00000000" w:rsidRPr="00000000">
        <w:rPr>
          <w:rtl w:val="0"/>
        </w:rPr>
      </w:r>
    </w:p>
    <w:tbl>
      <w:tblPr>
        <w:tblStyle w:val="Table4"/>
        <w:tblW w:w="943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60"/>
        <w:gridCol w:w="6772"/>
        <w:tblGridChange w:id="0">
          <w:tblGrid>
            <w:gridCol w:w="2660"/>
            <w:gridCol w:w="6772"/>
          </w:tblGrid>
        </w:tblGridChange>
      </w:tblGrid>
      <w:tr>
        <w:tc>
          <w:tcPr>
            <w:vAlign w:val="top"/>
          </w:tcPr>
          <w:p w:rsidR="00000000" w:rsidDel="00000000" w:rsidP="00000000" w:rsidRDefault="00000000" w:rsidRPr="00000000" w14:paraId="0000000D">
            <w:pPr>
              <w:rPr>
                <w:rFonts w:ascii="Arial" w:cs="Arial" w:eastAsia="Arial" w:hAnsi="Arial"/>
                <w:b w:val="1"/>
                <w:sz w:val="20"/>
                <w:szCs w:val="20"/>
                <w:vertAlign w:val="baseline"/>
              </w:rPr>
            </w:pPr>
            <w:r w:rsidDel="00000000" w:rsidR="00000000" w:rsidRPr="00000000">
              <w:rPr>
                <w:rFonts w:ascii="Arial" w:cs="Arial" w:eastAsia="Arial" w:hAnsi="Arial"/>
                <w:b w:val="1"/>
                <w:sz w:val="20"/>
                <w:szCs w:val="20"/>
                <w:vertAlign w:val="baseline"/>
                <w:rtl w:val="0"/>
              </w:rPr>
              <w:t xml:space="preserve">Profesor Guía (si aplica)</w:t>
            </w:r>
          </w:p>
        </w:tc>
        <w:tc>
          <w:tcPr>
            <w:vAlign w:val="top"/>
          </w:tcPr>
          <w:p w:rsidR="00000000" w:rsidDel="00000000" w:rsidP="00000000" w:rsidRDefault="00000000" w:rsidRPr="00000000" w14:paraId="0000000E">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Juan Gonzalez</w:t>
            </w:r>
            <w:r w:rsidDel="00000000" w:rsidR="00000000" w:rsidRPr="00000000">
              <w:rPr>
                <w:rtl w:val="0"/>
              </w:rPr>
            </w:r>
          </w:p>
        </w:tc>
      </w:tr>
    </w:tbl>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smallCaps w:val="0"/>
          <w:strike w:val="0"/>
          <w:color w:val="000000"/>
          <w:sz w:val="20"/>
          <w:szCs w:val="20"/>
          <w:u w:val="single"/>
          <w:shd w:fill="auto" w:val="clear"/>
          <w:vertAlign w:val="baseline"/>
        </w:rPr>
      </w:pPr>
      <w:r w:rsidDel="00000000" w:rsidR="00000000" w:rsidRPr="00000000">
        <w:rPr>
          <w:rFonts w:ascii="Arial" w:cs="Arial" w:eastAsia="Arial" w:hAnsi="Arial"/>
          <w:b w:val="1"/>
          <w:i w:val="0"/>
          <w:smallCaps w:val="0"/>
          <w:strike w:val="0"/>
          <w:color w:val="000000"/>
          <w:sz w:val="20"/>
          <w:szCs w:val="20"/>
          <w:u w:val="single"/>
          <w:shd w:fill="auto" w:val="clear"/>
          <w:vertAlign w:val="baseline"/>
          <w:rtl w:val="0"/>
        </w:rPr>
        <w:t xml:space="preserve">II. Datos memoria</w:t>
      </w:r>
      <w:r w:rsidDel="00000000" w:rsidR="00000000" w:rsidRPr="00000000">
        <w:rPr>
          <w:rtl w:val="0"/>
        </w:rPr>
      </w:r>
    </w:p>
    <w:tbl>
      <w:tblPr>
        <w:tblStyle w:val="Table5"/>
        <w:tblW w:w="943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60"/>
        <w:gridCol w:w="6772"/>
        <w:tblGridChange w:id="0">
          <w:tblGrid>
            <w:gridCol w:w="2660"/>
            <w:gridCol w:w="6772"/>
          </w:tblGrid>
        </w:tblGridChange>
      </w:tblGrid>
      <w:tr>
        <w:tc>
          <w:tcPr>
            <w:vAlign w:val="top"/>
          </w:tcPr>
          <w:p w:rsidR="00000000" w:rsidDel="00000000" w:rsidP="00000000" w:rsidRDefault="00000000" w:rsidRPr="00000000" w14:paraId="00000011">
            <w:pPr>
              <w:rPr>
                <w:rFonts w:ascii="Arial" w:cs="Arial" w:eastAsia="Arial" w:hAnsi="Arial"/>
                <w:b w:val="1"/>
                <w:sz w:val="20"/>
                <w:szCs w:val="20"/>
                <w:vertAlign w:val="baseline"/>
              </w:rPr>
            </w:pPr>
            <w:r w:rsidDel="00000000" w:rsidR="00000000" w:rsidRPr="00000000">
              <w:rPr>
                <w:rFonts w:ascii="Arial" w:cs="Arial" w:eastAsia="Arial" w:hAnsi="Arial"/>
                <w:b w:val="1"/>
                <w:sz w:val="20"/>
                <w:szCs w:val="20"/>
                <w:vertAlign w:val="baseline"/>
                <w:rtl w:val="0"/>
              </w:rPr>
              <w:t xml:space="preserve">Tema a desarrollar</w:t>
            </w:r>
          </w:p>
        </w:tc>
        <w:tc>
          <w:tcPr>
            <w:vAlign w:val="top"/>
          </w:tcPr>
          <w:p w:rsidR="00000000" w:rsidDel="00000000" w:rsidP="00000000" w:rsidRDefault="00000000" w:rsidRPr="00000000" w14:paraId="00000012">
            <w:pPr>
              <w:spacing w:after="0" w:line="276" w:lineRule="auto"/>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Visiones construidas  sobre las necesidades educativas especiales (NEE) por profesores que trabajan en escuelas con PIE de Puente Alto</w:t>
            </w:r>
            <w:r w:rsidDel="00000000" w:rsidR="00000000" w:rsidRPr="00000000">
              <w:rPr>
                <w:rtl w:val="0"/>
              </w:rPr>
            </w:r>
          </w:p>
        </w:tc>
      </w:tr>
    </w:tbl>
    <w:p w:rsidR="00000000" w:rsidDel="00000000" w:rsidP="00000000" w:rsidRDefault="00000000" w:rsidRPr="00000000" w14:paraId="00000013">
      <w:pPr>
        <w:rPr>
          <w:rFonts w:ascii="Arial" w:cs="Arial" w:eastAsia="Arial" w:hAnsi="Arial"/>
          <w:sz w:val="20"/>
          <w:szCs w:val="20"/>
          <w:vertAlign w:val="baseline"/>
        </w:rPr>
      </w:pPr>
      <w:r w:rsidDel="00000000" w:rsidR="00000000" w:rsidRPr="00000000">
        <w:rPr>
          <w:rtl w:val="0"/>
        </w:rPr>
      </w:r>
    </w:p>
    <w:tbl>
      <w:tblPr>
        <w:tblStyle w:val="Table6"/>
        <w:tblW w:w="9465.0" w:type="dxa"/>
        <w:jc w:val="left"/>
        <w:tblInd w:w="-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65"/>
        <w:tblGridChange w:id="0">
          <w:tblGrid>
            <w:gridCol w:w="9465"/>
          </w:tblGrid>
        </w:tblGridChange>
      </w:tblGrid>
      <w:tr>
        <w:trPr>
          <w:trHeight w:val="1140" w:hRule="atLeast"/>
        </w:trPr>
        <w:tc>
          <w:tcPr>
            <w:vAlign w:val="top"/>
          </w:tcPr>
          <w:p w:rsidR="00000000" w:rsidDel="00000000" w:rsidP="00000000" w:rsidRDefault="00000000" w:rsidRPr="00000000" w14:paraId="00000014">
            <w:pPr>
              <w:ind w:left="142" w:firstLine="0"/>
              <w:jc w:val="both"/>
              <w:rPr>
                <w:rFonts w:ascii="Arial" w:cs="Arial" w:eastAsia="Arial" w:hAnsi="Arial"/>
                <w:b w:val="1"/>
                <w:sz w:val="20"/>
                <w:szCs w:val="20"/>
                <w:vertAlign w:val="baseline"/>
              </w:rPr>
            </w:pPr>
            <w:r w:rsidDel="00000000" w:rsidR="00000000" w:rsidRPr="00000000">
              <w:rPr>
                <w:rFonts w:ascii="Arial" w:cs="Arial" w:eastAsia="Arial" w:hAnsi="Arial"/>
                <w:b w:val="1"/>
                <w:sz w:val="20"/>
                <w:szCs w:val="20"/>
                <w:vertAlign w:val="baseline"/>
                <w:rtl w:val="0"/>
              </w:rPr>
              <w:t xml:space="preserve">Formulación del problema y pregunta preliminar: Señale cuales son los principales antecedentes que dan origen al problema de investigación y especifique la pregunta, objetivo principal y resultados esperados (extensión máxima 1 plana).</w:t>
            </w:r>
          </w:p>
        </w:tc>
      </w:tr>
      <w:tr>
        <w:tc>
          <w:tcPr>
            <w:vAlign w:val="top"/>
          </w:tcPr>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En Chile, la preocupacion por la inlcusión educativa de estudiantes que presentarían Necesidades Educativas Especiales (en adelante NEE) comenzó a ser un tema de Estado desde los 90, donde empezó a incluirse trastornos del tipo “mental” o “cognitivo” dentro de la categoría de discapacidad, y por lo tanto el Estado estaría responsabilizado de asegurar el acceso de personas con estos trastornos a la educación. </w:t>
            </w:r>
          </w:p>
          <w:p w:rsidR="00000000" w:rsidDel="00000000" w:rsidP="00000000" w:rsidRDefault="00000000" w:rsidRPr="00000000" w14:paraId="00000016">
            <w:pPr>
              <w:rPr>
                <w:rFonts w:ascii="Arial" w:cs="Arial" w:eastAsia="Arial" w:hAnsi="Arial"/>
              </w:rPr>
            </w:pPr>
            <w:r w:rsidDel="00000000" w:rsidR="00000000" w:rsidRPr="00000000">
              <w:rPr>
                <w:rFonts w:ascii="Arial" w:cs="Arial" w:eastAsia="Arial" w:hAnsi="Arial"/>
                <w:rtl w:val="0"/>
              </w:rPr>
              <w:t xml:space="preserve">Sin embargo, la conceptualización actual de las NEE y su clasificación en permanentes y transitorias, provienen de la política en Educación Especial,la cual surge el 2005, donde se buscó enfrentar los obstáculos por superar en relación a la integración escolar; la cobertura, el financiamiento, la adaptación curricular y la escasa capacitación del cuerpo docente para trabajar con niños y niñas con necesidades educativas especiales, entre otras (Ministerio de Educación, 2005). Esto tuvo su materialización legislativa en la ley 20.202 de 2007, de la cual surge el Decreto 170, buscando reglamentarla, sentándose así las bases legales vigentes hasta ahora, en torno al diagnóstico, profesionales competentes, regulaciones y subvenciones asociadas a las NEE. </w:t>
            </w:r>
          </w:p>
          <w:p w:rsidR="00000000" w:rsidDel="00000000" w:rsidP="00000000" w:rsidRDefault="00000000" w:rsidRPr="00000000" w14:paraId="00000017">
            <w:pPr>
              <w:rPr>
                <w:rFonts w:ascii="Arial" w:cs="Arial" w:eastAsia="Arial" w:hAnsi="Arial"/>
                <w:highlight w:val="white"/>
              </w:rPr>
            </w:pPr>
            <w:r w:rsidDel="00000000" w:rsidR="00000000" w:rsidRPr="00000000">
              <w:rPr>
                <w:rFonts w:ascii="Arial" w:cs="Arial" w:eastAsia="Arial" w:hAnsi="Arial"/>
                <w:rtl w:val="0"/>
              </w:rPr>
              <w:t xml:space="preserve">Los efectos de esta política, sin embargo, han sido criticados desde diversos frentes; por un lado se pueden ver las dificultades que presentan los profesores en relación al trabajo docente con estudiantes con diagnóstico de NEE (Vega, 2009), las dificultades a nivel de ambiente educativo y cultura escolar; así como también las críticas a los fundamentos políticos, científicos y filosóficos que sostiene el decreto 170 (Peña, 2013). Estas críticas identifican en el decreto 170 la profundización de una racionalidad educativa basada en la subvención a la demanda </w:t>
            </w:r>
            <w:r w:rsidDel="00000000" w:rsidR="00000000" w:rsidRPr="00000000">
              <w:rPr>
                <w:rFonts w:ascii="Arial" w:cs="Arial" w:eastAsia="Arial" w:hAnsi="Arial"/>
                <w:highlight w:val="white"/>
                <w:rtl w:val="0"/>
              </w:rPr>
              <w:t xml:space="preserve">(el financiamiento de las escuelas a través de la entrega de fondos a los sostenedores de los establecimientos según el número y la asistencia de los alumnos/as a la escuela), ahora destinando recursos especiales a los colegio que reciban a aquellos alumnos con dificultades de aprendizaje que antes eran discriminados y expulsados de sus escuelas.</w:t>
            </w:r>
          </w:p>
          <w:p w:rsidR="00000000" w:rsidDel="00000000" w:rsidP="00000000" w:rsidRDefault="00000000" w:rsidRPr="00000000" w14:paraId="00000018">
            <w:pPr>
              <w:rPr>
                <w:rFonts w:ascii="Arial" w:cs="Arial" w:eastAsia="Arial" w:hAnsi="Arial"/>
                <w:highlight w:val="white"/>
              </w:rPr>
            </w:pPr>
            <w:r w:rsidDel="00000000" w:rsidR="00000000" w:rsidRPr="00000000">
              <w:rPr>
                <w:rFonts w:ascii="Arial" w:cs="Arial" w:eastAsia="Arial" w:hAnsi="Arial"/>
                <w:highlight w:val="white"/>
                <w:rtl w:val="0"/>
              </w:rPr>
              <w:t xml:space="preserve">De esta forma, se asume al decreto 170 como un esfuerzo del Estado en la integración de niños que habían sido vulnerados en sus derechos fundamentales dentro de la escuela, sin embargo ¿ Qué sujetos entran dentro de esta categoría? ¿Qué dificultades educativas comienzan a ser diagnosticadas y medicalizadas por un profesional de la salud? Diversos autores critican el decreto 170 por una individualización de los problemas sociales que afectan a la escuela, una explotación del diagnóstico a fin de recibir mayores recursos, estigmatizando y afectando de manera directa a estas niñas/os que supuestamente el Estado buscaba proteger (Peña, 2013)</w:t>
            </w:r>
          </w:p>
          <w:p w:rsidR="00000000" w:rsidDel="00000000" w:rsidP="00000000" w:rsidRDefault="00000000" w:rsidRPr="00000000" w14:paraId="00000019">
            <w:pPr>
              <w:shd w:fill="ffffff" w:val="clear"/>
              <w:spacing w:after="0" w:line="276" w:lineRule="auto"/>
              <w:jc w:val="both"/>
              <w:rPr>
                <w:rFonts w:ascii="Arial" w:cs="Arial" w:eastAsia="Arial" w:hAnsi="Arial"/>
              </w:rPr>
            </w:pPr>
            <w:r w:rsidDel="00000000" w:rsidR="00000000" w:rsidRPr="00000000">
              <w:rPr>
                <w:rFonts w:ascii="Arial" w:cs="Arial" w:eastAsia="Arial" w:hAnsi="Arial"/>
                <w:highlight w:val="white"/>
                <w:rtl w:val="0"/>
              </w:rPr>
              <w:t xml:space="preserve">En materia de efectos, según </w:t>
            </w:r>
            <w:r w:rsidDel="00000000" w:rsidR="00000000" w:rsidRPr="00000000">
              <w:rPr>
                <w:rFonts w:ascii="Arial" w:cs="Arial" w:eastAsia="Arial" w:hAnsi="Arial"/>
                <w:rtl w:val="0"/>
              </w:rPr>
              <w:t xml:space="preserve">Kremerman (2009),</w:t>
            </w:r>
            <w:r w:rsidDel="00000000" w:rsidR="00000000" w:rsidRPr="00000000">
              <w:rPr>
                <w:rFonts w:ascii="Arial" w:cs="Arial" w:eastAsia="Arial" w:hAnsi="Arial"/>
                <w:rtl w:val="0"/>
              </w:rPr>
              <w:t xml:space="preserve"> la matrícula de niños diagnosticados con NEE creció en un 198% entre el año 1998 y 2005, resultando ese último año un total de 93.907 estudiantes diagnosticados. Al 2014, según datos aportados por el MINEDUC, la matrícula total diagnosticada con NEE alcanzaba a 249.474 estudiantes, es decir casi un 10% de la población estudiantil total del sistema escolar. Con esto podemos ver un aumento preocupante de los diagnósticos, que se vuelve aún más problematico cuando se tiene en cuenta que existiría una influencia de prediagnósticos a la hora de evaluar cada caso, así como se evidenciaría una práctica creciente de patologización de la infancia a partir de el sentimiento de saturación laboral y emocional de padres y profesores que baja la tolerancia que tendrían estos adultos cuidadores a problemas de aprendizaje y conducta que no estarían necesariamente ligadas a un problema médico (Mas, 2009) .</w:t>
            </w:r>
          </w:p>
          <w:p w:rsidR="00000000" w:rsidDel="00000000" w:rsidP="00000000" w:rsidRDefault="00000000" w:rsidRPr="00000000" w14:paraId="0000001A">
            <w:pPr>
              <w:rPr>
                <w:rFonts w:ascii="Arial" w:cs="Arial" w:eastAsia="Arial" w:hAnsi="Arial"/>
              </w:rPr>
            </w:pPr>
            <w:r w:rsidDel="00000000" w:rsidR="00000000" w:rsidRPr="00000000">
              <w:rPr>
                <w:rFonts w:ascii="Arial" w:cs="Arial" w:eastAsia="Arial" w:hAnsi="Arial"/>
                <w:rtl w:val="0"/>
              </w:rPr>
              <w:t xml:space="preserve">Es a partir de esta realidad, y al análisis de los datos recabados en torno a la matricula diagnosticada con NEE en la comuna de puente alto, que buscamos realizar un estudio exploratorio a partir de la siguiente pregunta: </w:t>
            </w:r>
          </w:p>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 ¿Cuáles son las visiones en torno a las NEE que tienen los profesores y equipo psicopedagógico de la escuela municipal con mayor diagnóstico de este tipo en la comuna de puente alto?</w:t>
            </w:r>
          </w:p>
          <w:p w:rsidR="00000000" w:rsidDel="00000000" w:rsidP="00000000" w:rsidRDefault="00000000" w:rsidRPr="00000000" w14:paraId="0000001C">
            <w:pPr>
              <w:rPr>
                <w:rFonts w:ascii="Arial" w:cs="Arial" w:eastAsia="Arial" w:hAnsi="Arial"/>
                <w:b w:val="1"/>
              </w:rPr>
            </w:pPr>
            <w:r w:rsidDel="00000000" w:rsidR="00000000" w:rsidRPr="00000000">
              <w:rPr>
                <w:rFonts w:ascii="Arial" w:cs="Arial" w:eastAsia="Arial" w:hAnsi="Arial"/>
                <w:b w:val="1"/>
                <w:rtl w:val="0"/>
              </w:rPr>
              <w:t xml:space="preserve">Objetivo principal</w:t>
            </w:r>
          </w:p>
          <w:p w:rsidR="00000000" w:rsidDel="00000000" w:rsidP="00000000" w:rsidRDefault="00000000" w:rsidRPr="00000000" w14:paraId="0000001D">
            <w:pPr>
              <w:rPr>
                <w:rFonts w:ascii="Arial" w:cs="Arial" w:eastAsia="Arial" w:hAnsi="Arial"/>
              </w:rPr>
            </w:pPr>
            <w:r w:rsidDel="00000000" w:rsidR="00000000" w:rsidRPr="00000000">
              <w:rPr>
                <w:rFonts w:ascii="Arial" w:cs="Arial" w:eastAsia="Arial" w:hAnsi="Arial"/>
                <w:rtl w:val="0"/>
              </w:rPr>
              <w:t xml:space="preserve">Indagar las visiones en torno a las NEE que tienen los profesores y equipo psicopedagógico de la escuela municipal con mayor diagnóstico de este tipo en la comuna de puente alto</w:t>
            </w:r>
          </w:p>
          <w:p w:rsidR="00000000" w:rsidDel="00000000" w:rsidP="00000000" w:rsidRDefault="00000000" w:rsidRPr="00000000" w14:paraId="0000001E">
            <w:pPr>
              <w:rPr>
                <w:rFonts w:ascii="Arial" w:cs="Arial" w:eastAsia="Arial" w:hAnsi="Arial"/>
                <w:b w:val="1"/>
              </w:rPr>
            </w:pPr>
            <w:r w:rsidDel="00000000" w:rsidR="00000000" w:rsidRPr="00000000">
              <w:rPr>
                <w:rFonts w:ascii="Arial" w:cs="Arial" w:eastAsia="Arial" w:hAnsi="Arial"/>
                <w:rtl w:val="0"/>
              </w:rPr>
              <w:t xml:space="preserve"> </w:t>
            </w:r>
            <w:r w:rsidDel="00000000" w:rsidR="00000000" w:rsidRPr="00000000">
              <w:rPr>
                <w:rFonts w:ascii="Arial" w:cs="Arial" w:eastAsia="Arial" w:hAnsi="Arial"/>
                <w:b w:val="1"/>
                <w:rtl w:val="0"/>
              </w:rPr>
              <w:t xml:space="preserve">Resultados esperados</w:t>
            </w:r>
          </w:p>
          <w:p w:rsidR="00000000" w:rsidDel="00000000" w:rsidP="00000000" w:rsidRDefault="00000000" w:rsidRPr="00000000" w14:paraId="0000001F">
            <w:pPr>
              <w:rPr>
                <w:rFonts w:ascii="Arial" w:cs="Arial" w:eastAsia="Arial" w:hAnsi="Arial"/>
              </w:rPr>
            </w:pPr>
            <w:r w:rsidDel="00000000" w:rsidR="00000000" w:rsidRPr="00000000">
              <w:rPr>
                <w:rFonts w:ascii="Arial" w:cs="Arial" w:eastAsia="Arial" w:hAnsi="Arial"/>
                <w:rtl w:val="0"/>
              </w:rPr>
              <w:t xml:space="preserve">Estudiar el debate internacional en torno al concepto de NEE, los posibles enfoques en su abordaje y su historia.</w:t>
            </w:r>
          </w:p>
          <w:p w:rsidR="00000000" w:rsidDel="00000000" w:rsidP="00000000" w:rsidRDefault="00000000" w:rsidRPr="00000000" w14:paraId="00000020">
            <w:pPr>
              <w:rPr>
                <w:rFonts w:ascii="Arial" w:cs="Arial" w:eastAsia="Arial" w:hAnsi="Arial"/>
              </w:rPr>
            </w:pPr>
            <w:r w:rsidDel="00000000" w:rsidR="00000000" w:rsidRPr="00000000">
              <w:rPr>
                <w:rFonts w:ascii="Arial" w:cs="Arial" w:eastAsia="Arial" w:hAnsi="Arial"/>
                <w:rtl w:val="0"/>
              </w:rPr>
              <w:t xml:space="preserve">Contrastar los datos de la matricula diagnosticada con NEE en la comuna de puente alto entre los años 2015-2018 por año, tipo de diagnóstico y tipo de establecimiento.</w:t>
            </w:r>
          </w:p>
          <w:p w:rsidR="00000000" w:rsidDel="00000000" w:rsidP="00000000" w:rsidRDefault="00000000" w:rsidRPr="00000000" w14:paraId="00000021">
            <w:pPr>
              <w:rPr>
                <w:rFonts w:ascii="Arial" w:cs="Arial" w:eastAsia="Arial" w:hAnsi="Arial"/>
              </w:rPr>
            </w:pPr>
            <w:r w:rsidDel="00000000" w:rsidR="00000000" w:rsidRPr="00000000">
              <w:rPr>
                <w:rFonts w:ascii="Arial" w:cs="Arial" w:eastAsia="Arial" w:hAnsi="Arial"/>
                <w:rtl w:val="0"/>
              </w:rPr>
              <w:t xml:space="preserve">Indagar en las visiones de trastorno, educación y ser humano que construirían los profesores de la escuela con mayor diagnóstico de este tipo, y su enfoque de trabajo en el tema.</w:t>
            </w:r>
          </w:p>
          <w:p w:rsidR="00000000" w:rsidDel="00000000" w:rsidP="00000000" w:rsidRDefault="00000000" w:rsidRPr="00000000" w14:paraId="00000022">
            <w:pPr>
              <w:rPr>
                <w:rFonts w:ascii="Arial" w:cs="Arial" w:eastAsia="Arial" w:hAnsi="Arial"/>
              </w:rPr>
            </w:pPr>
            <w:r w:rsidDel="00000000" w:rsidR="00000000" w:rsidRPr="00000000">
              <w:rPr>
                <w:rFonts w:ascii="Arial" w:cs="Arial" w:eastAsia="Arial" w:hAnsi="Arial"/>
                <w:rtl w:val="0"/>
              </w:rPr>
              <w:t xml:space="preserve">Comparar el discurso impreso en el “espiritu de la ley” con la realidad educativa que identifican los profesores de esta escuela.</w:t>
            </w:r>
          </w:p>
          <w:p w:rsidR="00000000" w:rsidDel="00000000" w:rsidP="00000000" w:rsidRDefault="00000000" w:rsidRPr="00000000" w14:paraId="00000023">
            <w:pPr>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024">
      <w:pPr>
        <w:rPr>
          <w:rFonts w:ascii="Arial" w:cs="Arial" w:eastAsia="Arial" w:hAnsi="Arial"/>
          <w:sz w:val="20"/>
          <w:szCs w:val="20"/>
          <w:vertAlign w:val="baseline"/>
        </w:rPr>
      </w:pPr>
      <w:r w:rsidDel="00000000" w:rsidR="00000000" w:rsidRPr="00000000">
        <w:rPr>
          <w:rtl w:val="0"/>
        </w:rPr>
      </w:r>
    </w:p>
    <w:tbl>
      <w:tblPr>
        <w:tblStyle w:val="Table7"/>
        <w:tblW w:w="943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5"/>
        <w:gridCol w:w="6347"/>
        <w:tblGridChange w:id="0">
          <w:tblGrid>
            <w:gridCol w:w="3085"/>
            <w:gridCol w:w="6347"/>
          </w:tblGrid>
        </w:tblGridChange>
      </w:tblGrid>
      <w:tr>
        <w:tc>
          <w:tcPr>
            <w:vAlign w:val="top"/>
          </w:tcPr>
          <w:p w:rsidR="00000000" w:rsidDel="00000000" w:rsidP="00000000" w:rsidRDefault="00000000" w:rsidRPr="00000000" w14:paraId="00000025">
            <w:pPr>
              <w:rPr>
                <w:rFonts w:ascii="Arial" w:cs="Arial" w:eastAsia="Arial" w:hAnsi="Arial"/>
                <w:b w:val="1"/>
                <w:sz w:val="20"/>
                <w:szCs w:val="20"/>
                <w:vertAlign w:val="baseline"/>
              </w:rPr>
            </w:pPr>
            <w:r w:rsidDel="00000000" w:rsidR="00000000" w:rsidRPr="00000000">
              <w:rPr>
                <w:rFonts w:ascii="Arial" w:cs="Arial" w:eastAsia="Arial" w:hAnsi="Arial"/>
                <w:b w:val="1"/>
                <w:sz w:val="20"/>
                <w:szCs w:val="20"/>
                <w:vertAlign w:val="baseline"/>
                <w:rtl w:val="0"/>
              </w:rPr>
              <w:t xml:space="preserve">Aproximación teórica</w:t>
            </w:r>
          </w:p>
        </w:tc>
        <w:tc>
          <w:tcPr>
            <w:vAlign w:val="top"/>
          </w:tcPr>
          <w:p w:rsidR="00000000" w:rsidDel="00000000" w:rsidP="00000000" w:rsidRDefault="00000000" w:rsidRPr="00000000" w14:paraId="00000026">
            <w:pPr>
              <w:rPr>
                <w:rFonts w:ascii="Arial" w:cs="Arial" w:eastAsia="Arial" w:hAnsi="Arial"/>
                <w:sz w:val="20"/>
                <w:szCs w:val="20"/>
              </w:rPr>
            </w:pPr>
            <w:r w:rsidDel="00000000" w:rsidR="00000000" w:rsidRPr="00000000">
              <w:rPr>
                <w:rFonts w:ascii="Arial" w:cs="Arial" w:eastAsia="Arial" w:hAnsi="Arial"/>
                <w:sz w:val="20"/>
                <w:szCs w:val="20"/>
                <w:rtl w:val="0"/>
              </w:rPr>
              <w:t xml:space="preserve">Analisis crítico desde el enfoque histórico cultural de la psicología educacional, con teoría fundamentada, sobre la política pública en educación especial</w:t>
            </w:r>
          </w:p>
        </w:tc>
      </w:tr>
    </w:tbl>
    <w:p w:rsidR="00000000" w:rsidDel="00000000" w:rsidP="00000000" w:rsidRDefault="00000000" w:rsidRPr="00000000" w14:paraId="00000027">
      <w:pPr>
        <w:rPr>
          <w:rFonts w:ascii="Arial" w:cs="Arial" w:eastAsia="Arial" w:hAnsi="Arial"/>
          <w:sz w:val="20"/>
          <w:szCs w:val="20"/>
          <w:vertAlign w:val="baseline"/>
        </w:rPr>
      </w:pPr>
      <w:r w:rsidDel="00000000" w:rsidR="00000000" w:rsidRPr="00000000">
        <w:rPr>
          <w:rtl w:val="0"/>
        </w:rPr>
      </w:r>
    </w:p>
    <w:tbl>
      <w:tblPr>
        <w:tblStyle w:val="Table8"/>
        <w:tblW w:w="943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5"/>
        <w:gridCol w:w="6347"/>
        <w:tblGridChange w:id="0">
          <w:tblGrid>
            <w:gridCol w:w="3085"/>
            <w:gridCol w:w="6347"/>
          </w:tblGrid>
        </w:tblGridChange>
      </w:tblGrid>
      <w:tr>
        <w:tc>
          <w:tcPr>
            <w:vAlign w:val="top"/>
          </w:tcPr>
          <w:p w:rsidR="00000000" w:rsidDel="00000000" w:rsidP="00000000" w:rsidRDefault="00000000" w:rsidRPr="00000000" w14:paraId="00000028">
            <w:pPr>
              <w:rPr>
                <w:rFonts w:ascii="Arial" w:cs="Arial" w:eastAsia="Arial" w:hAnsi="Arial"/>
                <w:b w:val="1"/>
                <w:sz w:val="20"/>
                <w:szCs w:val="20"/>
                <w:vertAlign w:val="baseline"/>
              </w:rPr>
            </w:pPr>
            <w:r w:rsidDel="00000000" w:rsidR="00000000" w:rsidRPr="00000000">
              <w:rPr>
                <w:rFonts w:ascii="Arial" w:cs="Arial" w:eastAsia="Arial" w:hAnsi="Arial"/>
                <w:b w:val="1"/>
                <w:sz w:val="20"/>
                <w:szCs w:val="20"/>
                <w:vertAlign w:val="baseline"/>
                <w:rtl w:val="0"/>
              </w:rPr>
              <w:t xml:space="preserve">Aproximación metodológica</w:t>
            </w:r>
          </w:p>
        </w:tc>
        <w:tc>
          <w:tcPr>
            <w:vAlign w:val="top"/>
          </w:tcPr>
          <w:p w:rsidR="00000000" w:rsidDel="00000000" w:rsidP="00000000" w:rsidRDefault="00000000" w:rsidRPr="00000000" w14:paraId="00000029">
            <w:pPr>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Metodología cualitativa de estudio de Caso a través de analisis de contenido de entrevistas semi estructuradas</w:t>
            </w:r>
            <w:r w:rsidDel="00000000" w:rsidR="00000000" w:rsidRPr="00000000">
              <w:rPr>
                <w:rtl w:val="0"/>
              </w:rPr>
            </w:r>
          </w:p>
        </w:tc>
      </w:tr>
    </w:tbl>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tl w:val="0"/>
        </w:rPr>
      </w:r>
    </w:p>
    <w:tbl>
      <w:tblPr>
        <w:tblStyle w:val="Table9"/>
        <w:tblW w:w="943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64"/>
        <w:gridCol w:w="3156"/>
        <w:gridCol w:w="3212"/>
        <w:tblGridChange w:id="0">
          <w:tblGrid>
            <w:gridCol w:w="3064"/>
            <w:gridCol w:w="3156"/>
            <w:gridCol w:w="3212"/>
          </w:tblGrid>
        </w:tblGridChange>
      </w:tblGrid>
      <w:tr>
        <w:tc>
          <w:tcPr>
            <w:tcBorders>
              <w:right w:color="000000" w:space="0" w:sz="4" w:val="single"/>
            </w:tcBorders>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Formato (marque con x)</w:t>
            </w:r>
          </w:p>
        </w:tc>
        <w:tc>
          <w:tcPr>
            <w:tcBorders>
              <w:left w:color="000000" w:space="0" w:sz="4" w:val="single"/>
              <w:right w:color="000000" w:space="0" w:sz="4" w:val="single"/>
            </w:tcBorders>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Artículo a publica</w:t>
            </w:r>
            <w:r w:rsidDel="00000000" w:rsidR="00000000" w:rsidRPr="00000000">
              <w:rPr>
                <w:rFonts w:ascii="Arial" w:cs="Arial" w:eastAsia="Arial" w:hAnsi="Arial"/>
                <w:b w:val="1"/>
                <w:sz w:val="20"/>
                <w:szCs w:val="20"/>
                <w:rtl w:val="0"/>
              </w:rPr>
              <w:t xml:space="preserve">r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X</w:t>
            </w:r>
          </w:p>
        </w:tc>
        <w:tc>
          <w:tcPr>
            <w:tcBorders>
              <w:left w:color="000000" w:space="0" w:sz="4" w:val="single"/>
            </w:tcBorders>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Informe - </w:t>
            </w:r>
          </w:p>
        </w:tc>
      </w:tr>
      <w:tr>
        <w:tc>
          <w:tcPr>
            <w:gridSpan w:val="3"/>
            <w:vAlign w:val="top"/>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Fonts w:ascii="Arial" w:cs="Arial" w:eastAsia="Arial" w:hAnsi="Arial"/>
                <w:i w:val="0"/>
                <w:smallCaps w:val="0"/>
                <w:strike w:val="0"/>
                <w:color w:val="000000"/>
                <w:sz w:val="20"/>
                <w:szCs w:val="20"/>
                <w:u w:val="none"/>
                <w:shd w:fill="auto" w:val="clear"/>
                <w:vertAlign w:val="baseline"/>
                <w:rtl w:val="0"/>
              </w:rPr>
              <w:t xml:space="preserve">Si eligió artículo, indique posible revista: Psicoperspe</w:t>
            </w:r>
            <w:r w:rsidDel="00000000" w:rsidR="00000000" w:rsidRPr="00000000">
              <w:rPr>
                <w:rFonts w:ascii="Arial" w:cs="Arial" w:eastAsia="Arial" w:hAnsi="Arial"/>
                <w:sz w:val="20"/>
                <w:szCs w:val="20"/>
                <w:rtl w:val="0"/>
              </w:rPr>
              <w:t xml:space="preserve">ctivas </w:t>
            </w:r>
            <w:r w:rsidDel="00000000" w:rsidR="00000000" w:rsidRPr="00000000">
              <w:rPr>
                <w:rtl w:val="0"/>
              </w:rPr>
            </w:r>
          </w:p>
        </w:tc>
      </w:tr>
    </w:tbl>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Arial" w:cs="Arial" w:eastAsia="Arial" w:hAnsi="Arial"/>
          <w:i w:val="0"/>
          <w:smallCaps w:val="0"/>
          <w:strike w:val="0"/>
          <w:color w:val="000000"/>
          <w:sz w:val="20"/>
          <w:szCs w:val="20"/>
          <w:u w:val="none"/>
          <w:shd w:fill="auto" w:val="clear"/>
          <w:vertAlign w:val="baseline"/>
        </w:rPr>
      </w:pPr>
      <w:r w:rsidDel="00000000" w:rsidR="00000000" w:rsidRPr="00000000">
        <w:rPr>
          <w:rtl w:val="0"/>
        </w:rPr>
      </w:r>
    </w:p>
    <w:tbl>
      <w:tblPr>
        <w:tblStyle w:val="Table10"/>
        <w:tblW w:w="9432.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32"/>
        <w:tblGridChange w:id="0">
          <w:tblGrid>
            <w:gridCol w:w="9432"/>
          </w:tblGrid>
        </w:tblGridChange>
      </w:tblGrid>
      <w:tr>
        <w:tc>
          <w:tcPr>
            <w:vAlign w:val="top"/>
          </w:tcPr>
          <w:p w:rsidR="00000000" w:rsidDel="00000000" w:rsidP="00000000" w:rsidRDefault="00000000" w:rsidRPr="00000000" w14:paraId="00000032">
            <w:pPr>
              <w:rPr>
                <w:rFonts w:ascii="Arial" w:cs="Arial" w:eastAsia="Arial" w:hAnsi="Arial"/>
                <w:b w:val="1"/>
                <w:sz w:val="20"/>
                <w:szCs w:val="20"/>
                <w:vertAlign w:val="baseline"/>
              </w:rPr>
            </w:pPr>
            <w:r w:rsidDel="00000000" w:rsidR="00000000" w:rsidRPr="00000000">
              <w:rPr>
                <w:rFonts w:ascii="Arial" w:cs="Arial" w:eastAsia="Arial" w:hAnsi="Arial"/>
                <w:b w:val="1"/>
                <w:sz w:val="20"/>
                <w:szCs w:val="20"/>
                <w:vertAlign w:val="baseline"/>
                <w:rtl w:val="0"/>
              </w:rPr>
              <w:t xml:space="preserve">Referencias bibliográficas</w:t>
            </w:r>
          </w:p>
        </w:tc>
      </w:tr>
      <w:tr>
        <w:tc>
          <w:tcPr>
            <w:vAlign w:val="top"/>
          </w:tcPr>
          <w:p w:rsidR="00000000" w:rsidDel="00000000" w:rsidP="00000000" w:rsidRDefault="00000000" w:rsidRPr="00000000" w14:paraId="00000033">
            <w:pPr>
              <w:numPr>
                <w:ilvl w:val="0"/>
                <w:numId w:val="1"/>
              </w:numPr>
              <w:spacing w:after="0" w:line="240" w:lineRule="auto"/>
              <w:ind w:left="720" w:hanging="360"/>
              <w:rPr>
                <w:rFonts w:ascii="Arial" w:cs="Arial" w:eastAsia="Arial" w:hAnsi="Arial"/>
                <w:sz w:val="24"/>
                <w:szCs w:val="24"/>
              </w:rPr>
            </w:pPr>
            <w:r w:rsidDel="00000000" w:rsidR="00000000" w:rsidRPr="00000000">
              <w:rPr>
                <w:rFonts w:ascii="Arial" w:cs="Arial" w:eastAsia="Arial" w:hAnsi="Arial"/>
                <w:sz w:val="24"/>
                <w:szCs w:val="24"/>
                <w:rtl w:val="0"/>
              </w:rPr>
              <w:t xml:space="preserve">Decreto N° 170. Diario Oficial de la República de Chile, Santiago, Chile, 21 de Abril de 2010.</w:t>
            </w:r>
          </w:p>
          <w:p w:rsidR="00000000" w:rsidDel="00000000" w:rsidP="00000000" w:rsidRDefault="00000000" w:rsidRPr="00000000" w14:paraId="00000034">
            <w:pPr>
              <w:numPr>
                <w:ilvl w:val="0"/>
                <w:numId w:val="1"/>
              </w:numPr>
              <w:spacing w:after="0" w:afterAutospacing="0" w:line="276" w:lineRule="auto"/>
              <w:ind w:left="720" w:hanging="360"/>
              <w:jc w:val="both"/>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Kremerman, M. (2009). </w:t>
            </w:r>
            <w:r w:rsidDel="00000000" w:rsidR="00000000" w:rsidRPr="00000000">
              <w:rPr>
                <w:rFonts w:ascii="Arial" w:cs="Arial" w:eastAsia="Arial" w:hAnsi="Arial"/>
                <w:i w:val="1"/>
                <w:color w:val="222222"/>
                <w:sz w:val="24"/>
                <w:szCs w:val="24"/>
                <w:highlight w:val="white"/>
                <w:rtl w:val="0"/>
              </w:rPr>
              <w:t xml:space="preserve">Radiografía del Financiamiento de la Educación Chilena : Diagnóstico, Análisis y Propuestas</w:t>
            </w:r>
            <w:r w:rsidDel="00000000" w:rsidR="00000000" w:rsidRPr="00000000">
              <w:rPr>
                <w:rFonts w:ascii="Arial" w:cs="Arial" w:eastAsia="Arial" w:hAnsi="Arial"/>
                <w:color w:val="222222"/>
                <w:sz w:val="24"/>
                <w:szCs w:val="24"/>
                <w:highlight w:val="white"/>
                <w:rtl w:val="0"/>
              </w:rPr>
              <w:t xml:space="preserve">.</w:t>
            </w:r>
          </w:p>
          <w:p w:rsidR="00000000" w:rsidDel="00000000" w:rsidP="00000000" w:rsidRDefault="00000000" w:rsidRPr="00000000" w14:paraId="00000035">
            <w:pPr>
              <w:numPr>
                <w:ilvl w:val="0"/>
                <w:numId w:val="1"/>
              </w:numPr>
              <w:spacing w:after="0" w:afterAutospacing="0" w:line="276" w:lineRule="auto"/>
              <w:ind w:left="720" w:hanging="360"/>
              <w:jc w:val="both"/>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Mas, C. (2009). El TDAH en la práctica clínica psicológica. </w:t>
            </w:r>
            <w:r w:rsidDel="00000000" w:rsidR="00000000" w:rsidRPr="00000000">
              <w:rPr>
                <w:rFonts w:ascii="Arial" w:cs="Arial" w:eastAsia="Arial" w:hAnsi="Arial"/>
                <w:i w:val="1"/>
                <w:color w:val="222222"/>
                <w:sz w:val="24"/>
                <w:szCs w:val="24"/>
                <w:highlight w:val="white"/>
                <w:rtl w:val="0"/>
              </w:rPr>
              <w:t xml:space="preserve">Clínica Y Salud: Revista de Psicología Clínica Y Salud</w:t>
            </w:r>
            <w:r w:rsidDel="00000000" w:rsidR="00000000" w:rsidRPr="00000000">
              <w:rPr>
                <w:rFonts w:ascii="Arial" w:cs="Arial" w:eastAsia="Arial" w:hAnsi="Arial"/>
                <w:color w:val="222222"/>
                <w:sz w:val="24"/>
                <w:szCs w:val="24"/>
                <w:highlight w:val="white"/>
                <w:rtl w:val="0"/>
              </w:rPr>
              <w:t xml:space="preserve">, </w:t>
            </w:r>
            <w:r w:rsidDel="00000000" w:rsidR="00000000" w:rsidRPr="00000000">
              <w:rPr>
                <w:rFonts w:ascii="Arial" w:cs="Arial" w:eastAsia="Arial" w:hAnsi="Arial"/>
                <w:i w:val="1"/>
                <w:color w:val="222222"/>
                <w:sz w:val="24"/>
                <w:szCs w:val="24"/>
                <w:highlight w:val="white"/>
                <w:rtl w:val="0"/>
              </w:rPr>
              <w:t xml:space="preserve">20</w:t>
            </w:r>
            <w:r w:rsidDel="00000000" w:rsidR="00000000" w:rsidRPr="00000000">
              <w:rPr>
                <w:rFonts w:ascii="Arial" w:cs="Arial" w:eastAsia="Arial" w:hAnsi="Arial"/>
                <w:color w:val="222222"/>
                <w:sz w:val="24"/>
                <w:szCs w:val="24"/>
                <w:highlight w:val="white"/>
                <w:rtl w:val="0"/>
              </w:rPr>
              <w:t xml:space="preserve">(3), 249–259.</w:t>
            </w:r>
          </w:p>
          <w:p w:rsidR="00000000" w:rsidDel="00000000" w:rsidP="00000000" w:rsidRDefault="00000000" w:rsidRPr="00000000" w14:paraId="00000036">
            <w:pPr>
              <w:numPr>
                <w:ilvl w:val="0"/>
                <w:numId w:val="1"/>
              </w:numPr>
              <w:spacing w:after="0" w:afterAutospacing="0" w:line="276" w:lineRule="auto"/>
              <w:ind w:left="720" w:hanging="360"/>
              <w:jc w:val="both"/>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Ministerio de Educación. (2005). </w:t>
            </w:r>
            <w:r w:rsidDel="00000000" w:rsidR="00000000" w:rsidRPr="00000000">
              <w:rPr>
                <w:rFonts w:ascii="Arial" w:cs="Arial" w:eastAsia="Arial" w:hAnsi="Arial"/>
                <w:i w:val="1"/>
                <w:color w:val="222222"/>
                <w:sz w:val="24"/>
                <w:szCs w:val="24"/>
                <w:highlight w:val="white"/>
                <w:rtl w:val="0"/>
              </w:rPr>
              <w:t xml:space="preserve">Política Nacional de Educación Especial Nuestro Nuestro Compromiso con la Diversidad</w:t>
            </w:r>
            <w:r w:rsidDel="00000000" w:rsidR="00000000" w:rsidRPr="00000000">
              <w:rPr>
                <w:rFonts w:ascii="Arial" w:cs="Arial" w:eastAsia="Arial" w:hAnsi="Arial"/>
                <w:color w:val="222222"/>
                <w:sz w:val="24"/>
                <w:szCs w:val="24"/>
                <w:highlight w:val="white"/>
                <w:rtl w:val="0"/>
              </w:rPr>
              <w:t xml:space="preserve">. (A. Leiva, Ed.) (2nd ed.).</w:t>
            </w:r>
          </w:p>
          <w:p w:rsidR="00000000" w:rsidDel="00000000" w:rsidP="00000000" w:rsidRDefault="00000000" w:rsidRPr="00000000" w14:paraId="00000037">
            <w:pPr>
              <w:numPr>
                <w:ilvl w:val="0"/>
                <w:numId w:val="1"/>
              </w:numPr>
              <w:spacing w:after="0" w:afterAutospacing="0"/>
              <w:ind w:left="720" w:hanging="360"/>
              <w:jc w:val="both"/>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Peña, M. (2013). Análisis crítico de discurso del Decreto 170 de Subvención Diferenciada para Necesidades Educativas Especiales: El diagnóstico como herramienta de gestión. </w:t>
            </w:r>
            <w:r w:rsidDel="00000000" w:rsidR="00000000" w:rsidRPr="00000000">
              <w:rPr>
                <w:rFonts w:ascii="Arial" w:cs="Arial" w:eastAsia="Arial" w:hAnsi="Arial"/>
                <w:i w:val="1"/>
                <w:color w:val="222222"/>
                <w:sz w:val="24"/>
                <w:szCs w:val="24"/>
                <w:highlight w:val="white"/>
                <w:rtl w:val="0"/>
              </w:rPr>
              <w:t xml:space="preserve">Psicoperspectivas</w:t>
            </w:r>
            <w:r w:rsidDel="00000000" w:rsidR="00000000" w:rsidRPr="00000000">
              <w:rPr>
                <w:rFonts w:ascii="Arial" w:cs="Arial" w:eastAsia="Arial" w:hAnsi="Arial"/>
                <w:color w:val="222222"/>
                <w:sz w:val="24"/>
                <w:szCs w:val="24"/>
                <w:highlight w:val="white"/>
                <w:rtl w:val="0"/>
              </w:rPr>
              <w:t xml:space="preserve">, </w:t>
            </w:r>
            <w:r w:rsidDel="00000000" w:rsidR="00000000" w:rsidRPr="00000000">
              <w:rPr>
                <w:rFonts w:ascii="Arial" w:cs="Arial" w:eastAsia="Arial" w:hAnsi="Arial"/>
                <w:i w:val="1"/>
                <w:color w:val="222222"/>
                <w:sz w:val="24"/>
                <w:szCs w:val="24"/>
                <w:highlight w:val="white"/>
                <w:rtl w:val="0"/>
              </w:rPr>
              <w:t xml:space="preserve">12</w:t>
            </w:r>
            <w:r w:rsidDel="00000000" w:rsidR="00000000" w:rsidRPr="00000000">
              <w:rPr>
                <w:rFonts w:ascii="Arial" w:cs="Arial" w:eastAsia="Arial" w:hAnsi="Arial"/>
                <w:color w:val="222222"/>
                <w:sz w:val="24"/>
                <w:szCs w:val="24"/>
                <w:highlight w:val="white"/>
                <w:rtl w:val="0"/>
              </w:rPr>
              <w:t xml:space="preserve">(2), 93-103.</w:t>
            </w:r>
          </w:p>
          <w:p w:rsidR="00000000" w:rsidDel="00000000" w:rsidP="00000000" w:rsidRDefault="00000000" w:rsidRPr="00000000" w14:paraId="00000038">
            <w:pPr>
              <w:numPr>
                <w:ilvl w:val="0"/>
                <w:numId w:val="1"/>
              </w:numPr>
              <w:ind w:left="720" w:hanging="360"/>
              <w:jc w:val="both"/>
              <w:rPr>
                <w:rFonts w:ascii="Arial" w:cs="Arial" w:eastAsia="Arial" w:hAnsi="Arial"/>
                <w:color w:val="222222"/>
                <w:sz w:val="24"/>
                <w:szCs w:val="24"/>
                <w:highlight w:val="white"/>
              </w:rPr>
            </w:pPr>
            <w:r w:rsidDel="00000000" w:rsidR="00000000" w:rsidRPr="00000000">
              <w:rPr>
                <w:rFonts w:ascii="Arial" w:cs="Arial" w:eastAsia="Arial" w:hAnsi="Arial"/>
                <w:color w:val="222222"/>
                <w:sz w:val="24"/>
                <w:szCs w:val="24"/>
                <w:highlight w:val="white"/>
                <w:rtl w:val="0"/>
              </w:rPr>
              <w:t xml:space="preserve">Vega Godoy, A. (2009). Integración de alumnos con necesidades educativas especiales:¿ Existe coherencia entre el discurso y las prácticas pedagógicas ejercidas por los profesores básicos?. </w:t>
            </w:r>
            <w:r w:rsidDel="00000000" w:rsidR="00000000" w:rsidRPr="00000000">
              <w:rPr>
                <w:rFonts w:ascii="Arial" w:cs="Arial" w:eastAsia="Arial" w:hAnsi="Arial"/>
                <w:i w:val="1"/>
                <w:color w:val="222222"/>
                <w:sz w:val="24"/>
                <w:szCs w:val="24"/>
                <w:highlight w:val="white"/>
                <w:rtl w:val="0"/>
              </w:rPr>
              <w:t xml:space="preserve">Estudios pedagógicos (Valdivia)</w:t>
            </w:r>
            <w:r w:rsidDel="00000000" w:rsidR="00000000" w:rsidRPr="00000000">
              <w:rPr>
                <w:rFonts w:ascii="Arial" w:cs="Arial" w:eastAsia="Arial" w:hAnsi="Arial"/>
                <w:color w:val="222222"/>
                <w:sz w:val="24"/>
                <w:szCs w:val="24"/>
                <w:highlight w:val="white"/>
                <w:rtl w:val="0"/>
              </w:rPr>
              <w:t xml:space="preserve">, </w:t>
            </w:r>
            <w:r w:rsidDel="00000000" w:rsidR="00000000" w:rsidRPr="00000000">
              <w:rPr>
                <w:rFonts w:ascii="Arial" w:cs="Arial" w:eastAsia="Arial" w:hAnsi="Arial"/>
                <w:i w:val="1"/>
                <w:color w:val="222222"/>
                <w:sz w:val="24"/>
                <w:szCs w:val="24"/>
                <w:highlight w:val="white"/>
                <w:rtl w:val="0"/>
              </w:rPr>
              <w:t xml:space="preserve">35</w:t>
            </w:r>
            <w:r w:rsidDel="00000000" w:rsidR="00000000" w:rsidRPr="00000000">
              <w:rPr>
                <w:rFonts w:ascii="Arial" w:cs="Arial" w:eastAsia="Arial" w:hAnsi="Arial"/>
                <w:color w:val="222222"/>
                <w:sz w:val="24"/>
                <w:szCs w:val="24"/>
                <w:highlight w:val="white"/>
                <w:rtl w:val="0"/>
              </w:rPr>
              <w:t xml:space="preserve">(2), 189-202.</w:t>
            </w:r>
          </w:p>
        </w:tc>
      </w:tr>
    </w:tbl>
    <w:p w:rsidR="00000000" w:rsidDel="00000000" w:rsidP="00000000" w:rsidRDefault="00000000" w:rsidRPr="00000000" w14:paraId="00000039">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A">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B">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C">
      <w:pP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D">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  ____________________</w:t>
        <w:tab/>
        <w:tab/>
        <w:tab/>
        <w:tab/>
        <w:tab/>
        <w:tab/>
        <w:t xml:space="preserve">____________________</w:t>
      </w:r>
    </w:p>
    <w:p w:rsidR="00000000" w:rsidDel="00000000" w:rsidP="00000000" w:rsidRDefault="00000000" w:rsidRPr="00000000" w14:paraId="0000003E">
      <w:pP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Firma Profesor Patrocinante</w:t>
        <w:tab/>
        <w:tab/>
        <w:tab/>
        <w:tab/>
        <w:tab/>
        <w:tab/>
        <w:t xml:space="preserve">     Firma Estudiantes</w:t>
      </w:r>
    </w:p>
    <w:p w:rsidR="00000000" w:rsidDel="00000000" w:rsidP="00000000" w:rsidRDefault="00000000" w:rsidRPr="00000000" w14:paraId="0000003F">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____________________</w:t>
      </w:r>
    </w:p>
    <w:p w:rsidR="00000000" w:rsidDel="00000000" w:rsidP="00000000" w:rsidRDefault="00000000" w:rsidRPr="00000000" w14:paraId="00000040">
      <w:pPr>
        <w:jc w:val="center"/>
        <w:rPr>
          <w:rFonts w:ascii="Arial" w:cs="Arial" w:eastAsia="Arial" w:hAnsi="Arial"/>
          <w:sz w:val="20"/>
          <w:szCs w:val="20"/>
          <w:vertAlign w:val="baseline"/>
        </w:rPr>
      </w:pPr>
      <w:r w:rsidDel="00000000" w:rsidR="00000000" w:rsidRPr="00000000">
        <w:rPr>
          <w:rFonts w:ascii="Arial" w:cs="Arial" w:eastAsia="Arial" w:hAnsi="Arial"/>
          <w:sz w:val="20"/>
          <w:szCs w:val="20"/>
          <w:vertAlign w:val="baseline"/>
          <w:rtl w:val="0"/>
        </w:rPr>
        <w:t xml:space="preserve">Firma Profesor Guía</w:t>
      </w:r>
    </w:p>
    <w:p w:rsidR="00000000" w:rsidDel="00000000" w:rsidP="00000000" w:rsidRDefault="00000000" w:rsidRPr="00000000" w14:paraId="00000041">
      <w:pPr>
        <w:jc w:val="left"/>
        <w:rPr>
          <w:rFonts w:ascii="Arial" w:cs="Arial" w:eastAsia="Arial" w:hAnsi="Arial"/>
          <w:sz w:val="20"/>
          <w:szCs w:val="20"/>
        </w:rPr>
      </w:pPr>
      <w:r w:rsidDel="00000000" w:rsidR="00000000" w:rsidRPr="00000000">
        <w:rPr>
          <w:rtl w:val="0"/>
        </w:rPr>
      </w:r>
    </w:p>
    <w:sectPr>
      <w:headerReference r:id="rId6" w:type="default"/>
      <w:headerReference r:id="rId7" w:type="first"/>
      <w:headerReference r:id="rId8" w:type="even"/>
      <w:footerReference r:id="rId9" w:type="default"/>
      <w:pgSz w:h="15840" w:w="12240"/>
      <w:pgMar w:bottom="1134" w:top="567" w:left="1474" w:right="1474" w:header="170" w:footer="39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Book Antiqu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Avenida Capitán Ignacio Carrera Pinto 1045 *Ñuñoa *Código Postal 685 033 1 *Santiago *Chile</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                   Fono: 29787816 *Fax: 29787819 *email: scpsicologia@facso.cl * Casilla 10.115 Correo Central</w:t>
    </w:r>
  </w:p>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i w:val="0"/>
        <w:smallCaps w:val="0"/>
        <w:strike w:val="0"/>
        <w:color w:val="000000"/>
        <w:sz w:val="20"/>
        <w:szCs w:val="20"/>
        <w:u w:val="none"/>
        <w:shd w:fill="auto" w:val="clear"/>
        <w:vertAlign w:val="baseline"/>
      </w:rPr>
    </w:pPr>
    <w:r w:rsidDel="00000000" w:rsidR="00000000" w:rsidRPr="00000000">
      <w:rPr>
        <w:rFonts w:ascii="Book Antiqua" w:cs="Book Antiqua" w:eastAsia="Book Antiqua" w:hAnsi="Book Antiqua"/>
        <w:b w:val="0"/>
        <w:i w:val="0"/>
        <w:smallCaps w:val="0"/>
        <w:strike w:val="0"/>
        <w:color w:val="000000"/>
        <w:sz w:val="20"/>
        <w:szCs w:val="20"/>
        <w:u w:val="none"/>
        <w:shd w:fill="auto" w:val="clear"/>
        <w:vertAlign w:val="baseline"/>
        <w:rtl w:val="0"/>
      </w:rPr>
      <w:t xml:space="preserve">www.facso.uchile.cl/psicologia</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ook Antiqua" w:cs="Book Antiqua" w:eastAsia="Book Antiqua" w:hAnsi="Book Antiqua"/>
        <w:b w:val="0"/>
        <w:i w:val="0"/>
        <w:smallCaps w:val="0"/>
        <w:strike w:val="0"/>
        <w:color w:val="204a9f"/>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-63499</wp:posOffset>
              </wp:positionH>
              <wp:positionV relativeFrom="paragraph">
                <wp:posOffset>-495299</wp:posOffset>
              </wp:positionV>
              <wp:extent cx="6642100" cy="12700"/>
              <wp:effectExtent b="0" l="0" r="0" t="0"/>
              <wp:wrapNone/>
              <wp:docPr id="1" name=""/>
              <a:graphic>
                <a:graphicData uri="http://schemas.microsoft.com/office/word/2010/wordprocessingShape">
                  <wps:wsp>
                    <wps:cNvCnPr/>
                    <wps:spPr>
                      <a:xfrm>
                        <a:off x="2021775" y="3779683"/>
                        <a:ext cx="6648450" cy="635"/>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-63499</wp:posOffset>
              </wp:positionH>
              <wp:positionV relativeFrom="paragraph">
                <wp:posOffset>-495299</wp:posOffset>
              </wp:positionV>
              <wp:extent cx="6642100" cy="12700"/>
              <wp:effectExtent b="0" l="0" r="0" t="0"/>
              <wp:wrapNone/>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642100" cy="1270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tl w:val="0"/>
      </w:rPr>
    </w:r>
  </w:p>
  <w:tbl>
    <w:tblPr>
      <w:tblStyle w:val="Table11"/>
      <w:tblW w:w="5387.0" w:type="dxa"/>
      <w:jc w:val="left"/>
      <w:tblInd w:w="0.0" w:type="dxa"/>
      <w:tblLayout w:type="fixed"/>
      <w:tblLook w:val="0000"/>
    </w:tblPr>
    <w:tblGrid>
      <w:gridCol w:w="1399"/>
      <w:gridCol w:w="3988"/>
      <w:tblGridChange w:id="0">
        <w:tblGrid>
          <w:gridCol w:w="1399"/>
          <w:gridCol w:w="3988"/>
        </w:tblGrid>
      </w:tblGridChange>
    </w:tblGrid>
    <w:tr>
      <w:trPr>
        <w:trHeight w:val="1540" w:hRule="atLeast"/>
      </w:trPr>
      <w:tc>
        <w:tcPr>
          <w:vAlign w:val="top"/>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371" w:right="0" w:hanging="103"/>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266700</wp:posOffset>
                    </wp:positionH>
                    <wp:positionV relativeFrom="paragraph">
                      <wp:posOffset>1181100</wp:posOffset>
                    </wp:positionV>
                    <wp:extent cx="6642100" cy="12700"/>
                    <wp:effectExtent b="0" l="0" r="0" t="0"/>
                    <wp:wrapNone/>
                    <wp:docPr id="2" name=""/>
                    <a:graphic>
                      <a:graphicData uri="http://schemas.microsoft.com/office/word/2010/wordprocessingShape">
                        <wps:wsp>
                          <wps:cNvCnPr/>
                          <wps:spPr>
                            <a:xfrm>
                              <a:off x="2021775" y="3779683"/>
                              <a:ext cx="6648450" cy="635"/>
                            </a:xfrm>
                            <a:prstGeom prst="straightConnector1">
                              <a:avLst/>
                            </a:prstGeom>
                            <a:noFill/>
                            <a:ln cap="flat" cmpd="sng" w="9525">
                              <a:solidFill>
                                <a:srgbClr val="000000"/>
                              </a:solidFill>
                              <a:prstDash val="solid"/>
                              <a:round/>
                              <a:headEnd len="sm" w="sm" type="none"/>
                              <a:tailEnd len="sm" w="sm" type="none"/>
                            </a:ln>
                          </wps:spPr>
                          <wps:bodyPr anchorCtr="0" anchor="ctr" bIns="91425" lIns="91425" spcFirstLastPara="1" rIns="91425" wrap="square" tIns="91425"/>
                        </wps:wsp>
                      </a:graphicData>
                    </a:graphic>
                  </wp:anchor>
                </w:drawing>
              </mc:Choice>
              <mc:Fallback>
                <w:drawing>
                  <wp:anchor allowOverlap="1" behindDoc="0" distB="0" distT="0" distL="114300" distR="114300" hidden="0" layoutInCell="1" locked="0" relativeHeight="0" simplePos="0">
                    <wp:simplePos x="0" y="0"/>
                    <wp:positionH relativeFrom="column">
                      <wp:posOffset>266700</wp:posOffset>
                    </wp:positionH>
                    <wp:positionV relativeFrom="paragraph">
                      <wp:posOffset>1181100</wp:posOffset>
                    </wp:positionV>
                    <wp:extent cx="6642100" cy="12700"/>
                    <wp:effectExtent b="0" l="0" r="0" t="0"/>
                    <wp:wrapNone/>
                    <wp:docPr id="2"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6642100" cy="1270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282575</wp:posOffset>
                </wp:positionH>
                <wp:positionV relativeFrom="paragraph">
                  <wp:posOffset>-5079</wp:posOffset>
                </wp:positionV>
                <wp:extent cx="1974850" cy="1128395"/>
                <wp:effectExtent b="0" l="0" r="0" t="0"/>
                <wp:wrapNone/>
                <wp:docPr id="3" name="image2.jpg"/>
                <a:graphic>
                  <a:graphicData uri="http://schemas.openxmlformats.org/drawingml/2006/picture">
                    <pic:pic>
                      <pic:nvPicPr>
                        <pic:cNvPr id="0" name="image2.jpg"/>
                        <pic:cNvPicPr preferRelativeResize="0"/>
                      </pic:nvPicPr>
                      <pic:blipFill>
                        <a:blip r:embed="rId2"/>
                        <a:srcRect b="0" l="0" r="0" t="0"/>
                        <a:stretch>
                          <a:fillRect/>
                        </a:stretch>
                      </pic:blipFill>
                      <pic:spPr>
                        <a:xfrm>
                          <a:off x="0" y="0"/>
                          <a:ext cx="1974850" cy="1128395"/>
                        </a:xfrm>
                        <a:prstGeom prst="rect"/>
                        <a:ln/>
                      </pic:spPr>
                    </pic:pic>
                  </a:graphicData>
                </a:graphic>
              </wp:anchor>
            </w:drawing>
          </w:r>
        </w:p>
      </w:tc>
      <w:tc>
        <w:tcPr>
          <w:vAlign w:val="cente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tabs>
        <w:tab w:val="right" w:pos="9781"/>
      </w:tabs>
      <w:spacing w:after="0" w:before="0" w:line="240" w:lineRule="auto"/>
      <w:ind w:left="0" w:right="-517" w:firstLine="0"/>
      <w:jc w:val="left"/>
      <w:rPr>
        <w:rFonts w:ascii="Book Antiqua" w:cs="Book Antiqua" w:eastAsia="Book Antiqua" w:hAnsi="Book Antiqua"/>
        <w:b w:val="0"/>
        <w:i w:val="0"/>
        <w:smallCaps w:val="0"/>
        <w:strike w:val="0"/>
        <w:color w:val="204a9f"/>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5935980</wp:posOffset>
          </wp:positionH>
          <wp:positionV relativeFrom="paragraph">
            <wp:posOffset>94615</wp:posOffset>
          </wp:positionV>
          <wp:extent cx="377190" cy="359410"/>
          <wp:effectExtent b="0" l="0" r="0" t="0"/>
          <wp:wrapNone/>
          <wp:docPr id="4" name="image1.jpg"/>
          <a:graphic>
            <a:graphicData uri="http://schemas.openxmlformats.org/drawingml/2006/picture">
              <pic:pic>
                <pic:nvPicPr>
                  <pic:cNvPr id="0" name="image1.jpg"/>
                  <pic:cNvPicPr preferRelativeResize="0"/>
                </pic:nvPicPr>
                <pic:blipFill>
                  <a:blip r:embed="rId3"/>
                  <a:srcRect b="0" l="0" r="0" t="0"/>
                  <a:stretch>
                    <a:fillRect/>
                  </a:stretch>
                </pic:blipFill>
                <pic:spPr>
                  <a:xfrm>
                    <a:off x="0" y="0"/>
                    <a:ext cx="377190" cy="359410"/>
                  </a:xfrm>
                  <a:prstGeom prst="rect"/>
                  <a:ln/>
                </pic:spPr>
              </pic:pic>
            </a:graphicData>
          </a:graphic>
        </wp:anchor>
      </w:drawing>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tabs>
        <w:tab w:val="right" w:pos="9781"/>
      </w:tabs>
      <w:spacing w:after="0" w:before="0" w:line="240" w:lineRule="auto"/>
      <w:ind w:left="0" w:right="-517" w:firstLine="0"/>
      <w:jc w:val="right"/>
      <w:rPr>
        <w:rFonts w:ascii="Book Antiqua" w:cs="Book Antiqua" w:eastAsia="Book Antiqua" w:hAnsi="Book Antiqua"/>
        <w:b w:val="0"/>
        <w:i w:val="0"/>
        <w:smallCaps w:val="0"/>
        <w:strike w:val="0"/>
        <w:color w:val="204a9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i w:val="0"/>
        <w:smallCaps w:val="0"/>
        <w:strike w:val="0"/>
        <w:color w:val="000000"/>
        <w:sz w:val="28"/>
        <w:szCs w:val="28"/>
        <w:u w:val="none"/>
        <w:shd w:fill="auto" w:val="clear"/>
        <w:vertAlign w:val="baseline"/>
      </w:rPr>
    </w:pPr>
    <w:r w:rsidDel="00000000" w:rsidR="00000000" w:rsidRPr="00000000">
      <w:rPr>
        <w:rFonts w:ascii="Arial" w:cs="Arial" w:eastAsia="Arial" w:hAnsi="Arial"/>
        <w:b w:val="1"/>
        <w:i w:val="0"/>
        <w:smallCaps w:val="0"/>
        <w:strike w:val="0"/>
        <w:color w:val="000000"/>
        <w:sz w:val="28"/>
        <w:szCs w:val="28"/>
        <w:u w:val="none"/>
        <w:shd w:fill="auto" w:val="clear"/>
        <w:vertAlign w:val="baseline"/>
        <w:rtl w:val="0"/>
      </w:rPr>
      <w:t xml:space="preserve">Departamento de Psicología</w:t>
    </w:r>
    <w:r w:rsidDel="00000000" w:rsidR="00000000" w:rsidRPr="00000000">
      <w:rPr>
        <w:rtl w:val="0"/>
      </w:rPr>
    </w:r>
  </w:p>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right" w:pos="9781"/>
      </w:tabs>
      <w:spacing w:after="0" w:before="0" w:line="240" w:lineRule="auto"/>
      <w:ind w:left="0" w:right="-517" w:firstLine="0"/>
      <w:jc w:val="left"/>
      <w:rPr>
        <w:rFonts w:ascii="Book Antiqua" w:cs="Book Antiqua" w:eastAsia="Book Antiqua" w:hAnsi="Book Antiqua"/>
        <w:b w:val="0"/>
        <w:i w:val="0"/>
        <w:smallCaps w:val="0"/>
        <w:strike w:val="0"/>
        <w:color w:val="204a9f"/>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rPr>
        <w:vertAlign w:val="baseline"/>
      </w:rPr>
    </w:pPr>
    <w:r w:rsidDel="00000000" w:rsidR="00000000" w:rsidRPr="00000000">
      <w:rPr>
        <w:vertAlign w:val="baseline"/>
        <w:rtl w:val="0"/>
      </w:rPr>
      <w:tab/>
      <w:tab/>
      <w:tab/>
      <w:tab/>
      <w:tab/>
      <w:tab/>
      <w:tab/>
      <w:tab/>
      <w:tab/>
      <w:t xml:space="preserve">CARRERA DE PSICOLOGIA</w:t>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E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BookAntiqua-regular.ttf"/><Relationship Id="rId2" Type="http://schemas.openxmlformats.org/officeDocument/2006/relationships/font" Target="fonts/BookAntiqua-bold.ttf"/><Relationship Id="rId3" Type="http://schemas.openxmlformats.org/officeDocument/2006/relationships/font" Target="fonts/BookAntiqua-italic.ttf"/><Relationship Id="rId4" Type="http://schemas.openxmlformats.org/officeDocument/2006/relationships/font" Target="fonts/BookAntiqua-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2.jpg"/><Relationship Id="rId3"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